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623A" w:rsidR="005A49E9" w:rsidP="0019623A" w:rsidRDefault="000101B8" w14:paraId="6FEB2096" w14:textId="088EF4A8">
      <w:pPr>
        <w:pStyle w:val="Title"/>
        <w:rPr>
          <w:rFonts w:ascii="Tahoma" w:hAnsi="Tahoma" w:cs="Tahoma"/>
          <w:sz w:val="22"/>
        </w:rPr>
      </w:pPr>
      <w:r>
        <w:rPr>
          <w:rFonts w:ascii="Tahoma" w:hAnsi="Tahoma" w:cs="Tahoma"/>
          <w:sz w:val="22"/>
        </w:rPr>
        <w:t>Health and Wellness: Public and Community Health</w:t>
      </w:r>
      <w:r w:rsidRPr="0019623A" w:rsidR="0019623A">
        <w:rPr>
          <w:rFonts w:ascii="Tahoma" w:hAnsi="Tahoma" w:cs="Tahoma"/>
          <w:sz w:val="22"/>
        </w:rPr>
        <w:t xml:space="preserve"> Concentration</w:t>
      </w:r>
      <w:r>
        <w:rPr>
          <w:rFonts w:ascii="Tahoma" w:hAnsi="Tahoma" w:cs="Tahoma"/>
          <w:sz w:val="22"/>
        </w:rPr>
        <w:t xml:space="preserve"> (</w:t>
      </w:r>
      <w:r w:rsidRPr="000101B8">
        <w:rPr>
          <w:rFonts w:ascii="Tahoma" w:hAnsi="Tahoma" w:cs="Tahoma"/>
          <w:bCs/>
          <w:sz w:val="22"/>
        </w:rPr>
        <w:t>UHWP</w:t>
      </w:r>
      <w:r>
        <w:rPr>
          <w:rFonts w:ascii="Tahoma" w:hAnsi="Tahoma" w:cs="Tahoma"/>
          <w:bCs/>
          <w:sz w:val="22"/>
        </w:rPr>
        <w:t>)</w:t>
      </w:r>
    </w:p>
    <w:p w:rsidR="0019623A" w:rsidP="0019623A" w:rsidRDefault="0019623A" w14:paraId="10465D24" w14:textId="77777777">
      <w:pPr>
        <w:pStyle w:val="Title"/>
        <w:rPr>
          <w:rFonts w:ascii="Tahoma" w:hAnsi="Tahoma" w:cs="Tahoma"/>
          <w:sz w:val="22"/>
        </w:rPr>
      </w:pPr>
      <w:r w:rsidRPr="0019623A">
        <w:rPr>
          <w:rFonts w:ascii="Tahoma" w:hAnsi="Tahoma" w:cs="Tahoma"/>
          <w:sz w:val="22"/>
        </w:rPr>
        <w:t>Suggested Course Sequence for Entering Freshmen</w:t>
      </w:r>
    </w:p>
    <w:p w:rsidRPr="00F21593" w:rsidR="0019623A" w:rsidP="00F21593" w:rsidRDefault="0019623A" w14:paraId="766FF974" w14:textId="77777777">
      <w:pPr>
        <w:rPr>
          <w:sz w:val="18"/>
          <w:szCs w:val="18"/>
        </w:rPr>
      </w:pPr>
    </w:p>
    <w:tbl>
      <w:tblPr>
        <w:tblStyle w:val="TableGrid"/>
        <w:tblW w:w="0" w:type="auto"/>
        <w:tblLook w:val="04A0" w:firstRow="1" w:lastRow="0" w:firstColumn="1" w:lastColumn="0" w:noHBand="0" w:noVBand="1"/>
        <w:tblDescription w:val="Freshman Year"/>
      </w:tblPr>
      <w:tblGrid>
        <w:gridCol w:w="4675"/>
        <w:gridCol w:w="4675"/>
      </w:tblGrid>
      <w:tr w:rsidRPr="00F21593" w:rsidR="00C877E5" w:rsidTr="2C6D09F0" w14:paraId="3AB863ED" w14:textId="77777777">
        <w:trPr>
          <w:tblHeader/>
        </w:trPr>
        <w:tc>
          <w:tcPr>
            <w:tcW w:w="9350" w:type="dxa"/>
            <w:gridSpan w:val="2"/>
            <w:tcMar/>
          </w:tcPr>
          <w:p w:rsidRPr="00F21593" w:rsidR="00C877E5" w:rsidP="00F21593" w:rsidRDefault="00A91CD6" w14:paraId="65E26E8F" w14:textId="6813E342">
            <w:pPr>
              <w:jc w:val="center"/>
              <w:rPr>
                <w:rFonts w:ascii="Tahoma" w:hAnsi="Tahoma" w:cs="Tahoma"/>
                <w:sz w:val="18"/>
                <w:szCs w:val="18"/>
              </w:rPr>
            </w:pPr>
            <w:r w:rsidRPr="00F21593">
              <w:rPr>
                <w:rFonts w:ascii="Tahoma" w:hAnsi="Tahoma" w:cs="Tahoma"/>
                <w:b/>
                <w:sz w:val="18"/>
                <w:szCs w:val="18"/>
              </w:rPr>
              <w:t>Year One</w:t>
            </w:r>
          </w:p>
        </w:tc>
      </w:tr>
      <w:tr w:rsidRPr="00F21593" w:rsidR="001A62B9" w:rsidTr="2C6D09F0" w14:paraId="6045B7C0" w14:textId="77777777">
        <w:tc>
          <w:tcPr>
            <w:tcW w:w="4675" w:type="dxa"/>
            <w:tcMar/>
          </w:tcPr>
          <w:p w:rsidRPr="00F21593" w:rsidR="001A62B9" w:rsidP="00F21593" w:rsidRDefault="001A62B9" w14:paraId="4EDE5E3A" w14:textId="77777777">
            <w:pPr>
              <w:jc w:val="center"/>
              <w:rPr>
                <w:rFonts w:ascii="Tahoma" w:hAnsi="Tahoma" w:cs="Tahoma"/>
                <w:b/>
                <w:sz w:val="18"/>
                <w:szCs w:val="18"/>
              </w:rPr>
            </w:pPr>
            <w:r w:rsidRPr="00F21593">
              <w:rPr>
                <w:rFonts w:ascii="Tahoma" w:hAnsi="Tahoma" w:cs="Tahoma"/>
                <w:b/>
                <w:sz w:val="18"/>
                <w:szCs w:val="18"/>
              </w:rPr>
              <w:t>Fall</w:t>
            </w:r>
          </w:p>
        </w:tc>
        <w:tc>
          <w:tcPr>
            <w:tcW w:w="4675" w:type="dxa"/>
            <w:tcMar/>
          </w:tcPr>
          <w:p w:rsidRPr="00F21593" w:rsidR="001A62B9" w:rsidP="00F21593" w:rsidRDefault="001A62B9" w14:paraId="43D1BCD3" w14:textId="77777777">
            <w:pPr>
              <w:jc w:val="center"/>
              <w:rPr>
                <w:rFonts w:ascii="Tahoma" w:hAnsi="Tahoma" w:cs="Tahoma"/>
                <w:b/>
                <w:sz w:val="18"/>
                <w:szCs w:val="18"/>
              </w:rPr>
            </w:pPr>
            <w:r w:rsidRPr="00F21593">
              <w:rPr>
                <w:rFonts w:ascii="Tahoma" w:hAnsi="Tahoma" w:cs="Tahoma"/>
                <w:b/>
                <w:sz w:val="18"/>
                <w:szCs w:val="18"/>
              </w:rPr>
              <w:t>Spring</w:t>
            </w:r>
          </w:p>
        </w:tc>
      </w:tr>
      <w:tr w:rsidRPr="00F21593" w:rsidR="001A62B9" w:rsidTr="2C6D09F0" w14:paraId="645409F7" w14:textId="77777777">
        <w:tc>
          <w:tcPr>
            <w:tcW w:w="4675" w:type="dxa"/>
            <w:tcBorders>
              <w:bottom w:val="single" w:color="auto" w:sz="4" w:space="0"/>
            </w:tcBorders>
            <w:tcMar/>
          </w:tcPr>
          <w:p w:rsidRPr="00F21593" w:rsidR="000101B8" w:rsidP="00F21593" w:rsidRDefault="000101B8" w14:paraId="65508339" w14:textId="3AA08D43">
            <w:pPr>
              <w:ind w:left="163" w:hanging="163"/>
              <w:rPr>
                <w:rFonts w:ascii="Tahoma" w:hAnsi="Tahoma" w:cs="Tahoma"/>
                <w:sz w:val="18"/>
                <w:szCs w:val="18"/>
              </w:rPr>
            </w:pPr>
            <w:r w:rsidRPr="000101B8">
              <w:rPr>
                <w:rFonts w:ascii="Tahoma" w:hAnsi="Tahoma" w:cs="Tahoma"/>
                <w:sz w:val="18"/>
                <w:szCs w:val="18"/>
              </w:rPr>
              <w:t>CHEM 103 Introductory Chemistry</w:t>
            </w:r>
            <w:r w:rsidRPr="00F21593">
              <w:rPr>
                <w:rFonts w:ascii="Tahoma" w:hAnsi="Tahoma" w:cs="Tahoma"/>
                <w:sz w:val="18"/>
                <w:szCs w:val="18"/>
              </w:rPr>
              <w:t xml:space="preserve"> </w:t>
            </w:r>
            <w:r w:rsidRPr="00F21593" w:rsidR="00A91CD6">
              <w:rPr>
                <w:rFonts w:ascii="Tahoma" w:hAnsi="Tahoma" w:cs="Tahoma"/>
                <w:sz w:val="18"/>
                <w:szCs w:val="18"/>
              </w:rPr>
              <w:t>or</w:t>
            </w:r>
            <w:r w:rsidRPr="00F21593">
              <w:rPr>
                <w:rFonts w:ascii="Tahoma" w:hAnsi="Tahoma" w:cs="Tahoma"/>
                <w:sz w:val="18"/>
                <w:szCs w:val="18"/>
              </w:rPr>
              <w:t xml:space="preserve"> </w:t>
            </w:r>
            <w:r w:rsidRPr="000101B8">
              <w:rPr>
                <w:rFonts w:ascii="Tahoma" w:hAnsi="Tahoma" w:cs="Tahoma"/>
                <w:sz w:val="18"/>
                <w:szCs w:val="18"/>
              </w:rPr>
              <w:t xml:space="preserve">CHEM 107 Principles of Chemistry </w:t>
            </w:r>
            <w:r w:rsidRPr="00F21593">
              <w:rPr>
                <w:rFonts w:ascii="Tahoma" w:hAnsi="Tahoma" w:cs="Tahoma"/>
                <w:sz w:val="18"/>
                <w:szCs w:val="18"/>
              </w:rPr>
              <w:t>(both Gen. Ed. Domain II-B; L)</w:t>
            </w:r>
          </w:p>
          <w:p w:rsidRPr="000101B8" w:rsidR="000101B8" w:rsidP="00F21593" w:rsidRDefault="000101B8" w14:paraId="7BE52D1A" w14:textId="1D00E6DE">
            <w:pPr>
              <w:rPr>
                <w:rFonts w:ascii="Tahoma" w:hAnsi="Tahoma" w:cs="Tahoma"/>
                <w:sz w:val="18"/>
                <w:szCs w:val="18"/>
              </w:rPr>
            </w:pPr>
            <w:r w:rsidRPr="2C6D09F0" w:rsidR="000101B8">
              <w:rPr>
                <w:rFonts w:ascii="Tahoma" w:hAnsi="Tahoma" w:cs="Tahoma"/>
                <w:sz w:val="18"/>
                <w:szCs w:val="18"/>
              </w:rPr>
              <w:t xml:space="preserve">HLTH 110 Wellness for Life (Gen. Ed. Domain III-B) </w:t>
            </w:r>
            <w:r w:rsidRPr="2C6D09F0" w:rsidR="1EF831E1">
              <w:rPr>
                <w:rFonts w:ascii="Tahoma" w:hAnsi="Tahoma" w:cs="Tahoma"/>
                <w:sz w:val="18"/>
                <w:szCs w:val="18"/>
              </w:rPr>
              <w:t>or</w:t>
            </w:r>
          </w:p>
          <w:p w:rsidRPr="00F21593" w:rsidR="000101B8" w:rsidP="00F21593" w:rsidRDefault="000101B8" w14:paraId="5DF9BE7D" w14:textId="22003403">
            <w:pPr>
              <w:ind w:left="163"/>
              <w:rPr>
                <w:rFonts w:ascii="Tahoma" w:hAnsi="Tahoma" w:cs="Tahoma"/>
                <w:sz w:val="18"/>
                <w:szCs w:val="18"/>
              </w:rPr>
            </w:pPr>
            <w:r w:rsidRPr="00F21593">
              <w:rPr>
                <w:rFonts w:ascii="Tahoma" w:hAnsi="Tahoma" w:cs="Tahoma"/>
                <w:sz w:val="18"/>
                <w:szCs w:val="18"/>
              </w:rPr>
              <w:t>NUTR 110 Fundamentals of Nutrition Science (Gen. Ed. Domain II-B non-L)</w:t>
            </w:r>
          </w:p>
          <w:p w:rsidRPr="00F21593" w:rsidR="000101B8" w:rsidP="00F21593" w:rsidRDefault="000101B8" w14:paraId="13AD650B" w14:textId="0FC8AF3B">
            <w:pPr>
              <w:rPr>
                <w:rFonts w:ascii="Tahoma" w:hAnsi="Tahoma" w:cs="Tahoma"/>
                <w:sz w:val="18"/>
                <w:szCs w:val="18"/>
              </w:rPr>
            </w:pPr>
            <w:r w:rsidRPr="00F21593">
              <w:rPr>
                <w:rFonts w:ascii="Tahoma" w:hAnsi="Tahoma" w:cs="Tahoma"/>
                <w:sz w:val="18"/>
                <w:szCs w:val="18"/>
              </w:rPr>
              <w:t>Common Core A – ENWR 110 Composition II</w:t>
            </w:r>
          </w:p>
          <w:p w:rsidRPr="00F21593" w:rsidR="001A62B9" w:rsidP="00F21593" w:rsidRDefault="000101B8" w14:paraId="034C46B6" w14:textId="135B9A73">
            <w:pPr>
              <w:ind w:left="163" w:hanging="163"/>
              <w:rPr>
                <w:rFonts w:ascii="Tahoma" w:hAnsi="Tahoma" w:cs="Tahoma"/>
                <w:sz w:val="18"/>
                <w:szCs w:val="18"/>
              </w:rPr>
            </w:pPr>
            <w:r w:rsidRPr="00F21593">
              <w:rPr>
                <w:rFonts w:ascii="Tahoma" w:hAnsi="Tahoma" w:cs="Tahoma"/>
                <w:sz w:val="18"/>
                <w:szCs w:val="18"/>
              </w:rPr>
              <w:t>Common Core B – Any 100-level or higher Gen. Ed. MATH Course (MATH 123 is suggested)</w:t>
            </w:r>
          </w:p>
        </w:tc>
        <w:tc>
          <w:tcPr>
            <w:tcW w:w="4675" w:type="dxa"/>
            <w:tcBorders>
              <w:bottom w:val="single" w:color="auto" w:sz="4" w:space="0"/>
            </w:tcBorders>
            <w:tcMar/>
          </w:tcPr>
          <w:p w:rsidRPr="00F21593" w:rsidR="000101B8" w:rsidP="00F21593" w:rsidRDefault="000101B8" w14:paraId="5CCDE5B8" w14:textId="404D7F96">
            <w:pPr>
              <w:ind w:left="164" w:hanging="164"/>
              <w:rPr>
                <w:rFonts w:ascii="Tahoma" w:hAnsi="Tahoma" w:cs="Tahoma"/>
                <w:sz w:val="18"/>
                <w:szCs w:val="18"/>
              </w:rPr>
            </w:pPr>
            <w:r w:rsidRPr="00F21593">
              <w:rPr>
                <w:rFonts w:ascii="Tahoma" w:hAnsi="Tahoma" w:cs="Tahoma"/>
                <w:sz w:val="18"/>
                <w:szCs w:val="18"/>
              </w:rPr>
              <w:t>BIOL 130/130L Principles of Biology with Lab (Gen. Ed. Domain II-B</w:t>
            </w:r>
            <w:r w:rsidRPr="00F21593" w:rsidR="000F0B36">
              <w:rPr>
                <w:rFonts w:ascii="Tahoma" w:hAnsi="Tahoma" w:cs="Tahoma"/>
                <w:sz w:val="18"/>
                <w:szCs w:val="18"/>
              </w:rPr>
              <w:t>; L</w:t>
            </w:r>
            <w:r w:rsidRPr="00F21593">
              <w:rPr>
                <w:rFonts w:ascii="Tahoma" w:hAnsi="Tahoma" w:cs="Tahoma"/>
                <w:sz w:val="18"/>
                <w:szCs w:val="18"/>
              </w:rPr>
              <w:t xml:space="preserve">) </w:t>
            </w:r>
            <w:r w:rsidRPr="00F21593" w:rsidR="00A91CD6">
              <w:rPr>
                <w:rFonts w:ascii="Tahoma" w:hAnsi="Tahoma" w:cs="Tahoma"/>
                <w:sz w:val="18"/>
                <w:szCs w:val="18"/>
              </w:rPr>
              <w:t>or</w:t>
            </w:r>
            <w:r w:rsidRPr="00F21593">
              <w:rPr>
                <w:rFonts w:ascii="Tahoma" w:hAnsi="Tahoma" w:cs="Tahoma"/>
                <w:sz w:val="18"/>
                <w:szCs w:val="18"/>
              </w:rPr>
              <w:t xml:space="preserve"> BIOL 142</w:t>
            </w:r>
            <w:r w:rsidRPr="00F21593" w:rsidR="000F0B36">
              <w:rPr>
                <w:rFonts w:ascii="Tahoma" w:hAnsi="Tahoma" w:cs="Tahoma"/>
                <w:sz w:val="18"/>
                <w:szCs w:val="18"/>
              </w:rPr>
              <w:t>/142</w:t>
            </w:r>
            <w:r w:rsidRPr="00F21593">
              <w:rPr>
                <w:rFonts w:ascii="Tahoma" w:hAnsi="Tahoma" w:cs="Tahoma"/>
                <w:sz w:val="18"/>
                <w:szCs w:val="18"/>
              </w:rPr>
              <w:t>L Introduction to Human Biology</w:t>
            </w:r>
            <w:r w:rsidRPr="00F21593" w:rsidR="000F0B36">
              <w:rPr>
                <w:rFonts w:ascii="Tahoma" w:hAnsi="Tahoma" w:cs="Tahoma"/>
                <w:sz w:val="18"/>
                <w:szCs w:val="18"/>
              </w:rPr>
              <w:t xml:space="preserve"> with Lab</w:t>
            </w:r>
            <w:r w:rsidRPr="00F21593">
              <w:rPr>
                <w:rFonts w:ascii="Tahoma" w:hAnsi="Tahoma" w:cs="Tahoma"/>
                <w:sz w:val="18"/>
                <w:szCs w:val="18"/>
              </w:rPr>
              <w:t xml:space="preserve"> </w:t>
            </w:r>
            <w:r w:rsidRPr="00F21593" w:rsidR="00A91CD6">
              <w:rPr>
                <w:rFonts w:ascii="Tahoma" w:hAnsi="Tahoma" w:cs="Tahoma"/>
                <w:sz w:val="18"/>
                <w:szCs w:val="18"/>
              </w:rPr>
              <w:t xml:space="preserve">or </w:t>
            </w:r>
            <w:r w:rsidRPr="00F21593">
              <w:rPr>
                <w:rFonts w:ascii="Tahoma" w:hAnsi="Tahoma" w:cs="Tahoma"/>
                <w:sz w:val="18"/>
                <w:szCs w:val="18"/>
              </w:rPr>
              <w:t>an introductory biology course with lab</w:t>
            </w:r>
          </w:p>
          <w:p w:rsidRPr="000101B8" w:rsidR="000101B8" w:rsidP="00F21593" w:rsidRDefault="000101B8" w14:paraId="37F99CD7" w14:textId="3D6047E0">
            <w:pPr>
              <w:rPr>
                <w:rFonts w:ascii="Tahoma" w:hAnsi="Tahoma" w:cs="Tahoma"/>
                <w:sz w:val="18"/>
                <w:szCs w:val="18"/>
              </w:rPr>
            </w:pPr>
            <w:r w:rsidRPr="000101B8">
              <w:rPr>
                <w:rFonts w:ascii="Tahoma" w:hAnsi="Tahoma" w:cs="Tahoma"/>
                <w:sz w:val="18"/>
                <w:szCs w:val="18"/>
              </w:rPr>
              <w:t xml:space="preserve">HLTH 110 Wellness for Life (Gen. Ed. Domain III-B) </w:t>
            </w:r>
            <w:r w:rsidRPr="00F21593" w:rsidR="00A91CD6">
              <w:rPr>
                <w:rFonts w:ascii="Tahoma" w:hAnsi="Tahoma" w:cs="Tahoma"/>
                <w:sz w:val="18"/>
                <w:szCs w:val="18"/>
              </w:rPr>
              <w:t>or</w:t>
            </w:r>
          </w:p>
          <w:p w:rsidRPr="00F21593" w:rsidR="000101B8" w:rsidP="00F21593" w:rsidRDefault="000101B8" w14:paraId="7E02BC25" w14:textId="40F5D6FC">
            <w:pPr>
              <w:ind w:left="163"/>
              <w:rPr>
                <w:rFonts w:ascii="Tahoma" w:hAnsi="Tahoma" w:cs="Tahoma"/>
                <w:sz w:val="18"/>
                <w:szCs w:val="18"/>
              </w:rPr>
            </w:pPr>
            <w:r w:rsidRPr="00F21593">
              <w:rPr>
                <w:rFonts w:ascii="Tahoma" w:hAnsi="Tahoma" w:cs="Tahoma"/>
                <w:sz w:val="18"/>
                <w:szCs w:val="18"/>
              </w:rPr>
              <w:t>NUTR 110 Fundamentals of Nutrition Science (Gen. Ed. Domain II-B non-L)</w:t>
            </w:r>
          </w:p>
          <w:p w:rsidRPr="00F21593" w:rsidR="000101B8" w:rsidP="00F21593" w:rsidRDefault="000101B8" w14:paraId="32456940" w14:textId="4C10ECE9">
            <w:pPr>
              <w:ind w:left="163" w:hanging="163"/>
              <w:rPr>
                <w:rFonts w:ascii="Tahoma" w:hAnsi="Tahoma" w:cs="Tahoma"/>
                <w:sz w:val="18"/>
                <w:szCs w:val="18"/>
              </w:rPr>
            </w:pPr>
            <w:r w:rsidRPr="000101B8">
              <w:rPr>
                <w:rFonts w:ascii="Tahoma" w:hAnsi="Tahoma" w:cs="Tahoma"/>
                <w:sz w:val="18"/>
                <w:szCs w:val="18"/>
              </w:rPr>
              <w:t xml:space="preserve">STAT 117 Introduction to Statistics (Gen. Ed. Domain II-A) </w:t>
            </w:r>
            <w:r w:rsidRPr="00F21593" w:rsidR="00A91CD6">
              <w:rPr>
                <w:rFonts w:ascii="Tahoma" w:hAnsi="Tahoma" w:cs="Tahoma"/>
                <w:sz w:val="18"/>
                <w:szCs w:val="18"/>
              </w:rPr>
              <w:t xml:space="preserve">or </w:t>
            </w:r>
            <w:r w:rsidRPr="000101B8">
              <w:rPr>
                <w:rFonts w:ascii="Tahoma" w:hAnsi="Tahoma" w:cs="Tahoma"/>
                <w:sz w:val="18"/>
                <w:szCs w:val="18"/>
              </w:rPr>
              <w:t xml:space="preserve">STAT 157 Probability and Statistics (Gen. Ed. Domain II-A) </w:t>
            </w:r>
            <w:r w:rsidRPr="00F21593" w:rsidR="00A91CD6">
              <w:rPr>
                <w:rFonts w:ascii="Tahoma" w:hAnsi="Tahoma" w:cs="Tahoma"/>
                <w:sz w:val="18"/>
                <w:szCs w:val="18"/>
              </w:rPr>
              <w:t xml:space="preserve">or </w:t>
            </w:r>
            <w:r w:rsidRPr="000101B8">
              <w:rPr>
                <w:rFonts w:ascii="Tahoma" w:hAnsi="Tahoma" w:cs="Tahoma"/>
                <w:sz w:val="18"/>
                <w:szCs w:val="18"/>
              </w:rPr>
              <w:t xml:space="preserve">STAT 208 Biostatistics </w:t>
            </w:r>
            <w:r w:rsidRPr="00F21593" w:rsidR="00D405A2">
              <w:rPr>
                <w:rFonts w:ascii="Tahoma" w:hAnsi="Tahoma" w:cs="Tahoma"/>
                <w:sz w:val="18"/>
                <w:szCs w:val="18"/>
              </w:rPr>
              <w:t xml:space="preserve">(PR) </w:t>
            </w:r>
            <w:r w:rsidRPr="00F21593" w:rsidR="00A91CD6">
              <w:rPr>
                <w:rFonts w:ascii="Tahoma" w:hAnsi="Tahoma" w:cs="Tahoma"/>
                <w:sz w:val="18"/>
                <w:szCs w:val="18"/>
              </w:rPr>
              <w:t xml:space="preserve">or </w:t>
            </w:r>
            <w:r w:rsidRPr="000101B8">
              <w:rPr>
                <w:rFonts w:ascii="Tahoma" w:hAnsi="Tahoma" w:cs="Tahoma"/>
                <w:sz w:val="18"/>
                <w:szCs w:val="18"/>
              </w:rPr>
              <w:t>ENVS 202 Data Analysis for Scientists</w:t>
            </w:r>
            <w:r w:rsidRPr="00F21593" w:rsidR="00D405A2">
              <w:rPr>
                <w:rFonts w:ascii="Tahoma" w:hAnsi="Tahoma" w:cs="Tahoma"/>
                <w:sz w:val="18"/>
                <w:szCs w:val="18"/>
              </w:rPr>
              <w:t xml:space="preserve"> (PR)</w:t>
            </w:r>
          </w:p>
          <w:p w:rsidRPr="00F21593" w:rsidR="001A62B9" w:rsidP="00F21593" w:rsidRDefault="000101B8" w14:paraId="07ABC93E" w14:textId="54A1BF72">
            <w:pPr>
              <w:rPr>
                <w:rFonts w:ascii="Tahoma" w:hAnsi="Tahoma" w:cs="Tahoma"/>
                <w:sz w:val="18"/>
                <w:szCs w:val="18"/>
              </w:rPr>
            </w:pPr>
            <w:r w:rsidRPr="00F21593">
              <w:rPr>
                <w:rFonts w:ascii="Tahoma" w:hAnsi="Tahoma" w:cs="Tahoma"/>
                <w:sz w:val="18"/>
                <w:szCs w:val="18"/>
              </w:rPr>
              <w:t>Domain Gen. Ed. Course</w:t>
            </w:r>
          </w:p>
        </w:tc>
      </w:tr>
    </w:tbl>
    <w:p w:rsidRPr="00F21593" w:rsidR="003F57ED" w:rsidP="00F21593" w:rsidRDefault="003F57ED" w14:paraId="070F3CA6" w14:textId="77777777">
      <w:pPr>
        <w:rPr>
          <w:rFonts w:ascii="Tahoma" w:hAnsi="Tahoma" w:cs="Tahoma"/>
          <w:b/>
          <w:sz w:val="18"/>
          <w:szCs w:val="18"/>
        </w:rPr>
      </w:pPr>
    </w:p>
    <w:tbl>
      <w:tblPr>
        <w:tblStyle w:val="TableGrid"/>
        <w:tblW w:w="0" w:type="auto"/>
        <w:tblLook w:val="04A0" w:firstRow="1" w:lastRow="0" w:firstColumn="1" w:lastColumn="0" w:noHBand="0" w:noVBand="1"/>
        <w:tblDescription w:val="Sophomore Year"/>
      </w:tblPr>
      <w:tblGrid>
        <w:gridCol w:w="4675"/>
        <w:gridCol w:w="4675"/>
      </w:tblGrid>
      <w:tr w:rsidRPr="00F21593" w:rsidR="00C877E5" w:rsidTr="006040D3" w14:paraId="1E8DFF17" w14:textId="77777777">
        <w:trPr>
          <w:tblHeader/>
        </w:trPr>
        <w:tc>
          <w:tcPr>
            <w:tcW w:w="9350" w:type="dxa"/>
            <w:gridSpan w:val="2"/>
          </w:tcPr>
          <w:p w:rsidRPr="00F21593" w:rsidR="00C877E5" w:rsidP="00F21593" w:rsidRDefault="000F0B36" w14:paraId="19E26D76" w14:textId="20A8E8E6">
            <w:pPr>
              <w:jc w:val="center"/>
              <w:rPr>
                <w:rFonts w:ascii="Tahoma" w:hAnsi="Tahoma" w:cs="Tahoma"/>
                <w:sz w:val="18"/>
                <w:szCs w:val="18"/>
              </w:rPr>
            </w:pPr>
            <w:r w:rsidRPr="00F21593">
              <w:rPr>
                <w:rFonts w:ascii="Tahoma" w:hAnsi="Tahoma" w:cs="Tahoma"/>
                <w:b/>
                <w:sz w:val="18"/>
                <w:szCs w:val="18"/>
              </w:rPr>
              <w:t>Year Two</w:t>
            </w:r>
          </w:p>
        </w:tc>
      </w:tr>
      <w:tr w:rsidRPr="00F21593" w:rsidR="003F57ED" w:rsidTr="00DD57D6" w14:paraId="49BF8E75" w14:textId="77777777">
        <w:tc>
          <w:tcPr>
            <w:tcW w:w="4675" w:type="dxa"/>
          </w:tcPr>
          <w:p w:rsidRPr="00F21593" w:rsidR="003F57ED" w:rsidP="00F21593" w:rsidRDefault="003F57ED" w14:paraId="487FEA2D" w14:textId="77777777">
            <w:pPr>
              <w:jc w:val="center"/>
              <w:rPr>
                <w:rFonts w:ascii="Tahoma" w:hAnsi="Tahoma" w:cs="Tahoma"/>
                <w:b/>
                <w:sz w:val="18"/>
                <w:szCs w:val="18"/>
              </w:rPr>
            </w:pPr>
            <w:r w:rsidRPr="00F21593">
              <w:rPr>
                <w:rFonts w:ascii="Tahoma" w:hAnsi="Tahoma" w:cs="Tahoma"/>
                <w:b/>
                <w:sz w:val="18"/>
                <w:szCs w:val="18"/>
              </w:rPr>
              <w:t>Fall</w:t>
            </w:r>
          </w:p>
        </w:tc>
        <w:tc>
          <w:tcPr>
            <w:tcW w:w="4675" w:type="dxa"/>
          </w:tcPr>
          <w:p w:rsidRPr="00F21593" w:rsidR="003F57ED" w:rsidP="00F21593" w:rsidRDefault="003F57ED" w14:paraId="6E478B80" w14:textId="77777777">
            <w:pPr>
              <w:jc w:val="center"/>
              <w:rPr>
                <w:rFonts w:ascii="Tahoma" w:hAnsi="Tahoma" w:cs="Tahoma"/>
                <w:b/>
                <w:sz w:val="18"/>
                <w:szCs w:val="18"/>
              </w:rPr>
            </w:pPr>
            <w:r w:rsidRPr="00F21593">
              <w:rPr>
                <w:rFonts w:ascii="Tahoma" w:hAnsi="Tahoma" w:cs="Tahoma"/>
                <w:b/>
                <w:sz w:val="18"/>
                <w:szCs w:val="18"/>
              </w:rPr>
              <w:t>Spring</w:t>
            </w:r>
          </w:p>
        </w:tc>
      </w:tr>
      <w:tr w:rsidRPr="00F21593" w:rsidR="003F57ED" w:rsidTr="00DD57D6" w14:paraId="6FDD0713" w14:textId="77777777">
        <w:tc>
          <w:tcPr>
            <w:tcW w:w="4675" w:type="dxa"/>
          </w:tcPr>
          <w:p w:rsidRPr="00F21593" w:rsidR="00A91CD6" w:rsidP="00F21593" w:rsidRDefault="00A91CD6" w14:paraId="15F2EC3B" w14:textId="463093EA">
            <w:pPr>
              <w:ind w:left="165" w:hanging="165"/>
              <w:rPr>
                <w:rFonts w:ascii="Tahoma" w:hAnsi="Tahoma" w:cs="Tahoma"/>
                <w:sz w:val="18"/>
                <w:szCs w:val="18"/>
              </w:rPr>
            </w:pPr>
            <w:r w:rsidRPr="00F21593">
              <w:rPr>
                <w:rFonts w:ascii="Tahoma" w:hAnsi="Tahoma" w:cs="Tahoma"/>
                <w:sz w:val="18"/>
                <w:szCs w:val="18"/>
              </w:rPr>
              <w:t>NUTR 262 Food, Culture, and Society (P</w:t>
            </w:r>
            <w:r w:rsidRPr="00F21593" w:rsidR="000F0B36">
              <w:rPr>
                <w:rFonts w:ascii="Tahoma" w:hAnsi="Tahoma" w:cs="Tahoma"/>
                <w:sz w:val="18"/>
                <w:szCs w:val="18"/>
              </w:rPr>
              <w:t>R</w:t>
            </w:r>
            <w:r w:rsidRPr="00F21593">
              <w:rPr>
                <w:rFonts w:ascii="Tahoma" w:hAnsi="Tahoma" w:cs="Tahoma"/>
                <w:sz w:val="18"/>
                <w:szCs w:val="18"/>
              </w:rPr>
              <w:t>: L)</w:t>
            </w:r>
          </w:p>
          <w:p w:rsidRPr="00F21593" w:rsidR="00A91CD6" w:rsidP="00F21593" w:rsidRDefault="00A91CD6" w14:paraId="235D5A3E" w14:textId="77777777">
            <w:pPr>
              <w:ind w:left="165" w:hanging="165"/>
              <w:rPr>
                <w:rFonts w:ascii="Tahoma" w:hAnsi="Tahoma" w:cs="Tahoma"/>
                <w:sz w:val="18"/>
                <w:szCs w:val="18"/>
              </w:rPr>
            </w:pPr>
            <w:r w:rsidRPr="00F21593">
              <w:rPr>
                <w:rFonts w:ascii="Tahoma" w:hAnsi="Tahoma" w:cs="Tahoma"/>
                <w:sz w:val="18"/>
                <w:szCs w:val="18"/>
              </w:rPr>
              <w:t>HLTH 206 Wellness Behavior (PR)</w:t>
            </w:r>
          </w:p>
          <w:p w:rsidRPr="00F21593" w:rsidR="00A91CD6" w:rsidP="00F21593" w:rsidRDefault="00A91CD6" w14:paraId="4F5BC8F3" w14:textId="77777777">
            <w:pPr>
              <w:ind w:left="165" w:hanging="165"/>
              <w:rPr>
                <w:rFonts w:ascii="Tahoma" w:hAnsi="Tahoma" w:cs="Tahoma"/>
                <w:sz w:val="18"/>
                <w:szCs w:val="18"/>
              </w:rPr>
            </w:pPr>
            <w:r w:rsidRPr="00F21593">
              <w:rPr>
                <w:rFonts w:ascii="Tahoma" w:hAnsi="Tahoma" w:cs="Tahoma"/>
                <w:sz w:val="18"/>
                <w:szCs w:val="18"/>
              </w:rPr>
              <w:t>Domain Gen. Ed. Course</w:t>
            </w:r>
          </w:p>
          <w:p w:rsidRPr="00F21593" w:rsidR="003F57ED" w:rsidP="00F21593" w:rsidRDefault="00A91CD6" w14:paraId="1FCE5A30" w14:textId="74C52BC0">
            <w:pPr>
              <w:ind w:left="165" w:hanging="165"/>
              <w:rPr>
                <w:rFonts w:ascii="Tahoma" w:hAnsi="Tahoma" w:cs="Tahoma"/>
                <w:sz w:val="18"/>
                <w:szCs w:val="18"/>
              </w:rPr>
            </w:pPr>
            <w:r w:rsidRPr="00F21593">
              <w:rPr>
                <w:rFonts w:ascii="Tahoma" w:hAnsi="Tahoma" w:cs="Tahoma"/>
                <w:sz w:val="18"/>
                <w:szCs w:val="18"/>
              </w:rPr>
              <w:t>Open Elective</w:t>
            </w:r>
          </w:p>
        </w:tc>
        <w:tc>
          <w:tcPr>
            <w:tcW w:w="4675" w:type="dxa"/>
          </w:tcPr>
          <w:p w:rsidRPr="00F21593" w:rsidR="00A91CD6" w:rsidP="00F21593" w:rsidRDefault="00A91CD6" w14:paraId="69E91042" w14:textId="482DCAA9">
            <w:pPr>
              <w:rPr>
                <w:rFonts w:ascii="Tahoma" w:hAnsi="Tahoma" w:cs="Tahoma"/>
                <w:sz w:val="18"/>
                <w:szCs w:val="18"/>
              </w:rPr>
            </w:pPr>
            <w:r w:rsidRPr="00F21593">
              <w:rPr>
                <w:rFonts w:ascii="Tahoma" w:hAnsi="Tahoma" w:cs="Tahoma"/>
                <w:sz w:val="18"/>
                <w:szCs w:val="18"/>
              </w:rPr>
              <w:t>HLTH 222 Public Health and Epidemiology</w:t>
            </w:r>
            <w:r w:rsidRPr="00F21593" w:rsidR="00D405A2">
              <w:rPr>
                <w:rFonts w:ascii="Tahoma" w:hAnsi="Tahoma" w:cs="Tahoma"/>
                <w:sz w:val="18"/>
                <w:szCs w:val="18"/>
              </w:rPr>
              <w:t xml:space="preserve"> (PR)</w:t>
            </w:r>
          </w:p>
          <w:p w:rsidRPr="00F21593" w:rsidR="00A91CD6" w:rsidP="00F21593" w:rsidRDefault="00A91CD6" w14:paraId="2D21AECA" w14:textId="77777777">
            <w:pPr>
              <w:rPr>
                <w:rFonts w:ascii="Tahoma" w:hAnsi="Tahoma" w:cs="Tahoma"/>
                <w:sz w:val="18"/>
                <w:szCs w:val="18"/>
              </w:rPr>
            </w:pPr>
            <w:r w:rsidRPr="00F21593">
              <w:rPr>
                <w:rFonts w:ascii="Tahoma" w:hAnsi="Tahoma" w:cs="Tahoma"/>
                <w:sz w:val="18"/>
                <w:szCs w:val="18"/>
              </w:rPr>
              <w:t>Domain Gen. Ed. Course</w:t>
            </w:r>
          </w:p>
          <w:p w:rsidRPr="00F21593" w:rsidR="00A91CD6" w:rsidP="00F21593" w:rsidRDefault="00A91CD6" w14:paraId="003B3AB4" w14:textId="77777777">
            <w:pPr>
              <w:rPr>
                <w:rFonts w:ascii="Tahoma" w:hAnsi="Tahoma" w:cs="Tahoma"/>
                <w:sz w:val="18"/>
                <w:szCs w:val="18"/>
              </w:rPr>
            </w:pPr>
            <w:r w:rsidRPr="00F21593">
              <w:rPr>
                <w:rFonts w:ascii="Tahoma" w:hAnsi="Tahoma" w:cs="Tahoma"/>
                <w:sz w:val="18"/>
                <w:szCs w:val="18"/>
              </w:rPr>
              <w:t>Domain Gen. Ed. Course</w:t>
            </w:r>
          </w:p>
          <w:p w:rsidRPr="00F21593" w:rsidR="003F57ED" w:rsidP="00F21593" w:rsidRDefault="00A91CD6" w14:paraId="4A17030E" w14:textId="7B47AB28">
            <w:pPr>
              <w:ind w:left="198" w:hanging="198"/>
              <w:rPr>
                <w:rFonts w:ascii="Tahoma" w:hAnsi="Tahoma" w:cs="Tahoma"/>
                <w:b/>
                <w:sz w:val="18"/>
                <w:szCs w:val="18"/>
              </w:rPr>
            </w:pPr>
            <w:r w:rsidRPr="00F21593">
              <w:rPr>
                <w:rFonts w:ascii="Tahoma" w:hAnsi="Tahoma" w:cs="Tahoma"/>
                <w:sz w:val="18"/>
                <w:szCs w:val="18"/>
              </w:rPr>
              <w:t>Open Elective</w:t>
            </w:r>
          </w:p>
        </w:tc>
      </w:tr>
    </w:tbl>
    <w:p w:rsidRPr="00F21593" w:rsidR="00B55DE2" w:rsidP="00F21593" w:rsidRDefault="00B55DE2" w14:paraId="0514991D" w14:textId="077E1E57">
      <w:pPr>
        <w:jc w:val="center"/>
        <w:rPr>
          <w:rFonts w:ascii="Tahoma" w:hAnsi="Tahoma" w:cs="Tahoma"/>
          <w:b/>
          <w:sz w:val="18"/>
          <w:szCs w:val="18"/>
        </w:rPr>
      </w:pPr>
      <w:bookmarkStart w:name="_Hlk35426039" w:id="0"/>
    </w:p>
    <w:tbl>
      <w:tblPr>
        <w:tblStyle w:val="TableGrid"/>
        <w:tblW w:w="0" w:type="auto"/>
        <w:tblLook w:val="04A0" w:firstRow="1" w:lastRow="0" w:firstColumn="1" w:lastColumn="0" w:noHBand="0" w:noVBand="1"/>
        <w:tblCaption w:val="Junior Year"/>
        <w:tblDescription w:val="Junior Year"/>
      </w:tblPr>
      <w:tblGrid>
        <w:gridCol w:w="4675"/>
        <w:gridCol w:w="4675"/>
      </w:tblGrid>
      <w:tr w:rsidRPr="00F21593" w:rsidR="00C877E5" w:rsidTr="00CB779C" w14:paraId="6D3042F8" w14:textId="77777777">
        <w:trPr>
          <w:tblHeader/>
        </w:trPr>
        <w:tc>
          <w:tcPr>
            <w:tcW w:w="9350" w:type="dxa"/>
            <w:gridSpan w:val="2"/>
          </w:tcPr>
          <w:bookmarkEnd w:id="0"/>
          <w:p w:rsidRPr="00F21593" w:rsidR="00C877E5" w:rsidP="00F21593" w:rsidRDefault="000F0B36" w14:paraId="5307CC2A" w14:textId="68BF6FE8">
            <w:pPr>
              <w:jc w:val="center"/>
              <w:rPr>
                <w:rFonts w:ascii="Tahoma" w:hAnsi="Tahoma" w:cs="Tahoma"/>
                <w:sz w:val="18"/>
                <w:szCs w:val="18"/>
              </w:rPr>
            </w:pPr>
            <w:r w:rsidRPr="00F21593">
              <w:rPr>
                <w:rFonts w:ascii="Tahoma" w:hAnsi="Tahoma" w:cs="Tahoma"/>
                <w:b/>
                <w:sz w:val="18"/>
                <w:szCs w:val="18"/>
              </w:rPr>
              <w:t>Year Three</w:t>
            </w:r>
          </w:p>
        </w:tc>
      </w:tr>
      <w:tr w:rsidRPr="00F21593" w:rsidR="006C51C7" w:rsidTr="00DD57D6" w14:paraId="0F7F9A69" w14:textId="77777777">
        <w:tc>
          <w:tcPr>
            <w:tcW w:w="4675" w:type="dxa"/>
          </w:tcPr>
          <w:p w:rsidRPr="00F21593" w:rsidR="006C51C7" w:rsidP="00F21593" w:rsidRDefault="006C51C7" w14:paraId="6F862185" w14:textId="77777777">
            <w:pPr>
              <w:jc w:val="center"/>
              <w:rPr>
                <w:rFonts w:ascii="Tahoma" w:hAnsi="Tahoma" w:cs="Tahoma"/>
                <w:b/>
                <w:sz w:val="18"/>
                <w:szCs w:val="18"/>
              </w:rPr>
            </w:pPr>
            <w:r w:rsidRPr="00F21593">
              <w:rPr>
                <w:rFonts w:ascii="Tahoma" w:hAnsi="Tahoma" w:cs="Tahoma"/>
                <w:b/>
                <w:sz w:val="18"/>
                <w:szCs w:val="18"/>
              </w:rPr>
              <w:t>Fall</w:t>
            </w:r>
          </w:p>
        </w:tc>
        <w:tc>
          <w:tcPr>
            <w:tcW w:w="4675" w:type="dxa"/>
          </w:tcPr>
          <w:p w:rsidRPr="00F21593" w:rsidR="006C51C7" w:rsidP="00F21593" w:rsidRDefault="006C51C7" w14:paraId="07C0EE38" w14:textId="77777777">
            <w:pPr>
              <w:jc w:val="center"/>
              <w:rPr>
                <w:rFonts w:ascii="Tahoma" w:hAnsi="Tahoma" w:cs="Tahoma"/>
                <w:b/>
                <w:sz w:val="18"/>
                <w:szCs w:val="18"/>
              </w:rPr>
            </w:pPr>
            <w:r w:rsidRPr="00F21593">
              <w:rPr>
                <w:rFonts w:ascii="Tahoma" w:hAnsi="Tahoma" w:cs="Tahoma"/>
                <w:b/>
                <w:sz w:val="18"/>
                <w:szCs w:val="18"/>
              </w:rPr>
              <w:t>Spring</w:t>
            </w:r>
          </w:p>
        </w:tc>
      </w:tr>
      <w:tr w:rsidRPr="00F21593" w:rsidR="006C51C7" w:rsidTr="00DD57D6" w14:paraId="7B61C881" w14:textId="77777777">
        <w:tc>
          <w:tcPr>
            <w:tcW w:w="4675" w:type="dxa"/>
          </w:tcPr>
          <w:p w:rsidRPr="00F21593" w:rsidR="000F0B36" w:rsidP="00F21593" w:rsidRDefault="000F0B36" w14:paraId="33E2F21D" w14:textId="77777777">
            <w:pPr>
              <w:ind w:left="163" w:hanging="163"/>
              <w:rPr>
                <w:rFonts w:ascii="Tahoma" w:hAnsi="Tahoma" w:cs="Tahoma"/>
                <w:sz w:val="18"/>
                <w:szCs w:val="18"/>
              </w:rPr>
            </w:pPr>
            <w:r w:rsidRPr="00F21593">
              <w:rPr>
                <w:rFonts w:ascii="Tahoma" w:hAnsi="Tahoma" w:cs="Tahoma"/>
                <w:sz w:val="18"/>
                <w:szCs w:val="18"/>
              </w:rPr>
              <w:t>One course from Category 1, 2, 3, or 4 for the Public and Community Health concentration*</w:t>
            </w:r>
          </w:p>
          <w:p w:rsidRPr="00F21593" w:rsidR="000F0B36" w:rsidP="00F21593" w:rsidRDefault="000F0B36" w14:paraId="246F1110" w14:textId="77777777">
            <w:pPr>
              <w:ind w:left="163" w:hanging="163"/>
              <w:rPr>
                <w:rFonts w:ascii="Tahoma" w:hAnsi="Tahoma" w:cs="Tahoma"/>
                <w:sz w:val="18"/>
                <w:szCs w:val="18"/>
              </w:rPr>
            </w:pPr>
            <w:r w:rsidRPr="00F21593">
              <w:rPr>
                <w:rFonts w:ascii="Tahoma" w:hAnsi="Tahoma" w:cs="Tahoma"/>
                <w:sz w:val="18"/>
                <w:szCs w:val="18"/>
              </w:rPr>
              <w:t>One course from Category 1, 2, 3, or 4 for the Public and Community Health concentration*</w:t>
            </w:r>
          </w:p>
          <w:p w:rsidRPr="00F21593" w:rsidR="000F0B36" w:rsidP="00F21593" w:rsidRDefault="000F0B36" w14:paraId="53EE5413" w14:textId="77777777">
            <w:pPr>
              <w:ind w:left="163" w:hanging="163"/>
              <w:rPr>
                <w:rFonts w:ascii="Tahoma" w:hAnsi="Tahoma" w:cs="Tahoma"/>
                <w:sz w:val="18"/>
                <w:szCs w:val="18"/>
              </w:rPr>
            </w:pPr>
            <w:r w:rsidRPr="00F21593">
              <w:rPr>
                <w:rFonts w:ascii="Tahoma" w:hAnsi="Tahoma" w:cs="Tahoma"/>
                <w:sz w:val="18"/>
                <w:szCs w:val="18"/>
              </w:rPr>
              <w:t>Domain Gen. Ed. Course</w:t>
            </w:r>
          </w:p>
          <w:p w:rsidRPr="00F21593" w:rsidR="006C51C7" w:rsidP="00F21593" w:rsidRDefault="000F0B36" w14:paraId="1E3A9BB4" w14:textId="791C3EC1">
            <w:pPr>
              <w:ind w:left="163" w:hanging="163"/>
              <w:rPr>
                <w:rFonts w:ascii="Tahoma" w:hAnsi="Tahoma" w:cs="Tahoma"/>
                <w:b/>
                <w:sz w:val="18"/>
                <w:szCs w:val="18"/>
              </w:rPr>
            </w:pPr>
            <w:r w:rsidRPr="00F21593">
              <w:rPr>
                <w:rFonts w:ascii="Tahoma" w:hAnsi="Tahoma" w:cs="Tahoma"/>
                <w:sz w:val="18"/>
                <w:szCs w:val="18"/>
              </w:rPr>
              <w:t>Open Elective</w:t>
            </w:r>
          </w:p>
        </w:tc>
        <w:tc>
          <w:tcPr>
            <w:tcW w:w="4675" w:type="dxa"/>
          </w:tcPr>
          <w:p w:rsidRPr="00F21593" w:rsidR="000F0B36" w:rsidP="00F21593" w:rsidRDefault="000F0B36" w14:paraId="74F6EECA" w14:textId="77777777">
            <w:pPr>
              <w:ind w:left="164" w:hanging="164"/>
              <w:rPr>
                <w:rFonts w:ascii="Tahoma" w:hAnsi="Tahoma" w:cs="Tahoma"/>
                <w:sz w:val="18"/>
                <w:szCs w:val="18"/>
              </w:rPr>
            </w:pPr>
            <w:r w:rsidRPr="00F21593">
              <w:rPr>
                <w:rFonts w:ascii="Tahoma" w:hAnsi="Tahoma" w:cs="Tahoma"/>
                <w:sz w:val="18"/>
                <w:szCs w:val="18"/>
              </w:rPr>
              <w:t>One course from Category 1, 2, 3, or 4 for the Public and Community Health concentration*</w:t>
            </w:r>
          </w:p>
          <w:p w:rsidRPr="00F21593" w:rsidR="000F0B36" w:rsidP="00F21593" w:rsidRDefault="000F0B36" w14:paraId="4033BBCF" w14:textId="77777777">
            <w:pPr>
              <w:ind w:left="164" w:hanging="164"/>
              <w:rPr>
                <w:rFonts w:ascii="Tahoma" w:hAnsi="Tahoma" w:cs="Tahoma"/>
                <w:sz w:val="18"/>
                <w:szCs w:val="18"/>
              </w:rPr>
            </w:pPr>
            <w:r w:rsidRPr="00F21593">
              <w:rPr>
                <w:rFonts w:ascii="Tahoma" w:hAnsi="Tahoma" w:cs="Tahoma"/>
                <w:sz w:val="18"/>
                <w:szCs w:val="18"/>
              </w:rPr>
              <w:t>One course from Category 1, 2, 3, or 4 for the Public and Community Health concentration*</w:t>
            </w:r>
          </w:p>
          <w:p w:rsidRPr="00F21593" w:rsidR="000F0B36" w:rsidP="00F21593" w:rsidRDefault="000F0B36" w14:paraId="1BB8DAEE" w14:textId="77777777">
            <w:pPr>
              <w:ind w:left="164" w:hanging="164"/>
              <w:rPr>
                <w:rFonts w:ascii="Tahoma" w:hAnsi="Tahoma" w:cs="Tahoma"/>
                <w:sz w:val="18"/>
                <w:szCs w:val="18"/>
              </w:rPr>
            </w:pPr>
            <w:r w:rsidRPr="00F21593">
              <w:rPr>
                <w:rFonts w:ascii="Tahoma" w:hAnsi="Tahoma" w:cs="Tahoma"/>
                <w:sz w:val="18"/>
                <w:szCs w:val="18"/>
              </w:rPr>
              <w:t>Open Elective</w:t>
            </w:r>
          </w:p>
          <w:p w:rsidRPr="00F21593" w:rsidR="006C51C7" w:rsidP="00F21593" w:rsidRDefault="000F0B36" w14:paraId="74FF2600" w14:textId="1DB39110">
            <w:pPr>
              <w:ind w:left="164" w:hanging="164"/>
              <w:rPr>
                <w:rFonts w:ascii="Tahoma" w:hAnsi="Tahoma" w:cs="Tahoma"/>
                <w:b/>
                <w:sz w:val="18"/>
                <w:szCs w:val="18"/>
              </w:rPr>
            </w:pPr>
            <w:r w:rsidRPr="00F21593">
              <w:rPr>
                <w:rFonts w:ascii="Tahoma" w:hAnsi="Tahoma" w:cs="Tahoma"/>
                <w:sz w:val="18"/>
                <w:szCs w:val="18"/>
              </w:rPr>
              <w:t>Open Elective</w:t>
            </w:r>
          </w:p>
        </w:tc>
      </w:tr>
    </w:tbl>
    <w:p w:rsidRPr="00F21593" w:rsidR="006C51C7" w:rsidP="00F21593" w:rsidRDefault="006C51C7" w14:paraId="7155FC77" w14:textId="133501C2">
      <w:pPr>
        <w:jc w:val="center"/>
        <w:rPr>
          <w:rFonts w:ascii="Tahoma" w:hAnsi="Tahoma" w:cs="Tahoma"/>
          <w:b/>
          <w:sz w:val="18"/>
          <w:szCs w:val="18"/>
        </w:rPr>
      </w:pPr>
    </w:p>
    <w:tbl>
      <w:tblPr>
        <w:tblStyle w:val="TableGrid"/>
        <w:tblW w:w="0" w:type="auto"/>
        <w:tblLook w:val="04A0" w:firstRow="1" w:lastRow="0" w:firstColumn="1" w:lastColumn="0" w:noHBand="0" w:noVBand="1"/>
        <w:tblCaption w:val="Senior Year"/>
        <w:tblDescription w:val="Senior year"/>
      </w:tblPr>
      <w:tblGrid>
        <w:gridCol w:w="4675"/>
        <w:gridCol w:w="4675"/>
      </w:tblGrid>
      <w:tr w:rsidRPr="00F21593" w:rsidR="00C877E5" w:rsidTr="6C9499EE" w14:paraId="6F7A3D12" w14:textId="77777777">
        <w:trPr>
          <w:tblHeader/>
        </w:trPr>
        <w:tc>
          <w:tcPr>
            <w:tcW w:w="9350" w:type="dxa"/>
            <w:gridSpan w:val="2"/>
            <w:tcMar/>
          </w:tcPr>
          <w:p w:rsidRPr="00F21593" w:rsidR="00C877E5" w:rsidP="00F21593" w:rsidRDefault="000F0B36" w14:paraId="00AC5D0C" w14:textId="2526A169">
            <w:pPr>
              <w:jc w:val="center"/>
              <w:rPr>
                <w:rFonts w:ascii="Tahoma" w:hAnsi="Tahoma" w:cs="Tahoma"/>
                <w:sz w:val="18"/>
                <w:szCs w:val="18"/>
              </w:rPr>
            </w:pPr>
            <w:r w:rsidRPr="00F21593">
              <w:rPr>
                <w:rFonts w:ascii="Tahoma" w:hAnsi="Tahoma" w:cs="Tahoma"/>
                <w:b/>
                <w:sz w:val="18"/>
                <w:szCs w:val="18"/>
              </w:rPr>
              <w:t>Year Four</w:t>
            </w:r>
          </w:p>
        </w:tc>
      </w:tr>
      <w:tr w:rsidRPr="00F21593" w:rsidR="006C51C7" w:rsidTr="6C9499EE" w14:paraId="18CA33E7" w14:textId="77777777">
        <w:tc>
          <w:tcPr>
            <w:tcW w:w="4675" w:type="dxa"/>
            <w:tcMar/>
          </w:tcPr>
          <w:p w:rsidRPr="00F21593" w:rsidR="006C51C7" w:rsidP="00F21593" w:rsidRDefault="006C51C7" w14:paraId="3F85BFB8" w14:textId="77777777">
            <w:pPr>
              <w:jc w:val="center"/>
              <w:rPr>
                <w:rFonts w:ascii="Tahoma" w:hAnsi="Tahoma" w:cs="Tahoma"/>
                <w:b/>
                <w:sz w:val="18"/>
                <w:szCs w:val="18"/>
              </w:rPr>
            </w:pPr>
            <w:r w:rsidRPr="00F21593">
              <w:rPr>
                <w:rFonts w:ascii="Tahoma" w:hAnsi="Tahoma" w:cs="Tahoma"/>
                <w:b/>
                <w:sz w:val="18"/>
                <w:szCs w:val="18"/>
              </w:rPr>
              <w:t>Fall</w:t>
            </w:r>
          </w:p>
        </w:tc>
        <w:tc>
          <w:tcPr>
            <w:tcW w:w="4675" w:type="dxa"/>
            <w:tcMar/>
          </w:tcPr>
          <w:p w:rsidRPr="00F21593" w:rsidR="006C51C7" w:rsidP="00F21593" w:rsidRDefault="006C51C7" w14:paraId="0918D5AE" w14:textId="77777777">
            <w:pPr>
              <w:jc w:val="center"/>
              <w:rPr>
                <w:rFonts w:ascii="Tahoma" w:hAnsi="Tahoma" w:cs="Tahoma"/>
                <w:b/>
                <w:sz w:val="18"/>
                <w:szCs w:val="18"/>
              </w:rPr>
            </w:pPr>
            <w:r w:rsidRPr="00F21593">
              <w:rPr>
                <w:rFonts w:ascii="Tahoma" w:hAnsi="Tahoma" w:cs="Tahoma"/>
                <w:b/>
                <w:sz w:val="18"/>
                <w:szCs w:val="18"/>
              </w:rPr>
              <w:t>Spring</w:t>
            </w:r>
          </w:p>
        </w:tc>
      </w:tr>
      <w:tr w:rsidRPr="00F21593" w:rsidR="00DC7E6A" w:rsidTr="6C9499EE" w14:paraId="416B4E06" w14:textId="77777777">
        <w:tc>
          <w:tcPr>
            <w:tcW w:w="4675" w:type="dxa"/>
            <w:tcMar/>
          </w:tcPr>
          <w:p w:rsidRPr="00F21593" w:rsidR="000F0B36" w:rsidP="6C9499EE" w:rsidRDefault="000F0B36" w14:paraId="1D5F0B68" w14:textId="58A78D8D">
            <w:pPr>
              <w:rPr>
                <w:rFonts w:ascii="Tahoma" w:hAnsi="Tahoma" w:cs="Tahoma"/>
                <w:sz w:val="18"/>
                <w:szCs w:val="18"/>
              </w:rPr>
            </w:pPr>
            <w:r w:rsidRPr="6C9499EE" w:rsidR="10AF420B">
              <w:rPr>
                <w:rFonts w:ascii="Tahoma" w:hAnsi="Tahoma" w:cs="Tahoma"/>
                <w:sz w:val="18"/>
                <w:szCs w:val="18"/>
              </w:rPr>
              <w:t>HLTH 4XX Research Methods in Health and Wellness (PR)</w:t>
            </w:r>
            <w:r w:rsidRPr="6C9499EE" w:rsidR="10AF420B">
              <w:rPr>
                <w:rFonts w:ascii="Tahoma" w:hAnsi="Tahoma" w:cs="Tahoma"/>
                <w:sz w:val="18"/>
                <w:szCs w:val="18"/>
              </w:rPr>
              <w:t xml:space="preserve"> </w:t>
            </w:r>
          </w:p>
          <w:p w:rsidRPr="00F21593" w:rsidR="000F0B36" w:rsidP="00F21593" w:rsidRDefault="000F0B36" w14:paraId="7122CC49" w14:textId="731BE76F">
            <w:pPr>
              <w:rPr>
                <w:rFonts w:ascii="Tahoma" w:hAnsi="Tahoma" w:cs="Tahoma"/>
                <w:sz w:val="18"/>
                <w:szCs w:val="18"/>
              </w:rPr>
            </w:pPr>
            <w:r w:rsidRPr="6C9499EE" w:rsidR="000F0B36">
              <w:rPr>
                <w:rFonts w:ascii="Tahoma" w:hAnsi="Tahoma" w:cs="Tahoma"/>
                <w:sz w:val="18"/>
                <w:szCs w:val="18"/>
              </w:rPr>
              <w:t xml:space="preserve">NUTR 478 Community Nutrition </w:t>
            </w:r>
            <w:r w:rsidRPr="6C9499EE" w:rsidR="000F0B36">
              <w:rPr>
                <w:rFonts w:ascii="Tahoma" w:hAnsi="Tahoma" w:cs="Tahoma"/>
                <w:sz w:val="18"/>
                <w:szCs w:val="18"/>
              </w:rPr>
              <w:t>(PR)</w:t>
            </w:r>
          </w:p>
          <w:p w:rsidRPr="00F21593" w:rsidR="000F0B36" w:rsidP="00F21593" w:rsidRDefault="000F0B36" w14:paraId="34FC59E9" w14:textId="77777777">
            <w:pPr>
              <w:rPr>
                <w:rFonts w:ascii="Tahoma" w:hAnsi="Tahoma" w:cs="Tahoma"/>
                <w:sz w:val="18"/>
                <w:szCs w:val="18"/>
              </w:rPr>
            </w:pPr>
            <w:r w:rsidRPr="00F21593">
              <w:rPr>
                <w:rFonts w:ascii="Tahoma" w:hAnsi="Tahoma" w:cs="Tahoma"/>
                <w:sz w:val="18"/>
                <w:szCs w:val="18"/>
              </w:rPr>
              <w:t>Open Elective</w:t>
            </w:r>
          </w:p>
          <w:p w:rsidRPr="00F21593" w:rsidR="000F0B36" w:rsidP="00F21593" w:rsidRDefault="000F0B36" w14:paraId="50120614" w14:textId="056F7682">
            <w:pPr>
              <w:rPr>
                <w:rFonts w:ascii="Tahoma" w:hAnsi="Tahoma" w:cs="Tahoma"/>
                <w:sz w:val="18"/>
                <w:szCs w:val="18"/>
              </w:rPr>
            </w:pPr>
            <w:r w:rsidRPr="00F21593">
              <w:rPr>
                <w:rFonts w:ascii="Tahoma" w:hAnsi="Tahoma" w:cs="Tahoma"/>
                <w:sz w:val="18"/>
                <w:szCs w:val="18"/>
              </w:rPr>
              <w:t>Open Elective</w:t>
            </w:r>
          </w:p>
          <w:p w:rsidRPr="00F21593" w:rsidR="000F0B36" w:rsidP="00F21593" w:rsidRDefault="000F0B36" w14:paraId="20221C71" w14:textId="77777777">
            <w:pPr>
              <w:rPr>
                <w:rFonts w:ascii="Tahoma" w:hAnsi="Tahoma" w:cs="Tahoma"/>
                <w:sz w:val="18"/>
                <w:szCs w:val="18"/>
              </w:rPr>
            </w:pPr>
          </w:p>
          <w:p w:rsidRPr="00F21593" w:rsidR="00DC7E6A" w:rsidP="00F21593" w:rsidRDefault="000F0B36" w14:paraId="39BFA688" w14:textId="5E7FFD36">
            <w:pPr>
              <w:rPr>
                <w:rFonts w:ascii="Tahoma" w:hAnsi="Tahoma" w:cs="Tahoma"/>
                <w:sz w:val="18"/>
                <w:szCs w:val="18"/>
              </w:rPr>
            </w:pPr>
            <w:r w:rsidRPr="00861CA1">
              <w:rPr>
                <w:rFonts w:ascii="Tahoma" w:hAnsi="Tahoma" w:cs="Tahoma"/>
                <w:sz w:val="18"/>
                <w:szCs w:val="18"/>
              </w:rPr>
              <w:t>Submit application for HLTH 495</w:t>
            </w:r>
          </w:p>
        </w:tc>
        <w:tc>
          <w:tcPr>
            <w:tcW w:w="4675" w:type="dxa"/>
            <w:tcMar/>
          </w:tcPr>
          <w:p w:rsidRPr="00F21593" w:rsidR="000F0B36" w:rsidP="00F21593" w:rsidRDefault="000F0B36" w14:paraId="7276BBCB" w14:textId="7BB2C793">
            <w:pPr>
              <w:ind w:left="164" w:hanging="164"/>
              <w:rPr>
                <w:rFonts w:ascii="Tahoma" w:hAnsi="Tahoma" w:cs="Tahoma"/>
                <w:sz w:val="18"/>
                <w:szCs w:val="18"/>
              </w:rPr>
            </w:pPr>
            <w:r w:rsidRPr="00F21593">
              <w:rPr>
                <w:rFonts w:ascii="Tahoma" w:hAnsi="Tahoma" w:cs="Tahoma"/>
                <w:sz w:val="18"/>
                <w:szCs w:val="18"/>
              </w:rPr>
              <w:t xml:space="preserve">HLTH 495 Internship in </w:t>
            </w:r>
            <w:r w:rsidRPr="00F21593">
              <w:rPr>
                <w:rFonts w:ascii="Tahoma" w:hAnsi="Tahoma" w:cs="Tahoma"/>
                <w:sz w:val="18"/>
                <w:szCs w:val="18"/>
              </w:rPr>
              <w:t>Health and Wellness</w:t>
            </w:r>
            <w:r w:rsidRPr="00F21593">
              <w:rPr>
                <w:rFonts w:ascii="Tahoma" w:hAnsi="Tahoma" w:cs="Tahoma"/>
                <w:sz w:val="18"/>
                <w:szCs w:val="18"/>
              </w:rPr>
              <w:t xml:space="preserve"> (PR)</w:t>
            </w:r>
          </w:p>
          <w:p w:rsidRPr="00F21593" w:rsidR="000F0B36" w:rsidP="00F21593" w:rsidRDefault="000F0B36" w14:paraId="500F57CD" w14:textId="77777777">
            <w:pPr>
              <w:ind w:firstLine="164"/>
              <w:rPr>
                <w:rFonts w:ascii="Tahoma" w:hAnsi="Tahoma" w:cs="Tahoma"/>
                <w:sz w:val="18"/>
                <w:szCs w:val="18"/>
              </w:rPr>
            </w:pPr>
            <w:r w:rsidRPr="00F21593">
              <w:rPr>
                <w:rFonts w:ascii="Tahoma" w:hAnsi="Tahoma" w:cs="Tahoma"/>
                <w:sz w:val="18"/>
                <w:szCs w:val="18"/>
              </w:rPr>
              <w:t xml:space="preserve">Application required, keep one 8-hour day free </w:t>
            </w:r>
          </w:p>
          <w:p w:rsidRPr="00F21593" w:rsidR="000F0B36" w:rsidP="00F21593" w:rsidRDefault="000F0B36" w14:paraId="77A83374" w14:textId="77777777">
            <w:pPr>
              <w:ind w:left="164" w:hanging="164"/>
              <w:rPr>
                <w:rFonts w:ascii="Tahoma" w:hAnsi="Tahoma" w:cs="Tahoma"/>
                <w:sz w:val="18"/>
                <w:szCs w:val="18"/>
              </w:rPr>
            </w:pPr>
            <w:r w:rsidRPr="00F21593">
              <w:rPr>
                <w:rFonts w:ascii="Tahoma" w:hAnsi="Tahoma" w:cs="Tahoma"/>
                <w:sz w:val="18"/>
                <w:szCs w:val="18"/>
              </w:rPr>
              <w:t>One course from Category 1, 2, 3, or 4 for the Public and Community Health concentration*</w:t>
            </w:r>
          </w:p>
          <w:p w:rsidRPr="00F21593" w:rsidR="000F0B36" w:rsidP="00F21593" w:rsidRDefault="000F0B36" w14:paraId="0ACADD22" w14:textId="77777777">
            <w:pPr>
              <w:ind w:left="164" w:hanging="164"/>
              <w:rPr>
                <w:rFonts w:ascii="Tahoma" w:hAnsi="Tahoma" w:cs="Tahoma"/>
                <w:sz w:val="18"/>
                <w:szCs w:val="18"/>
              </w:rPr>
            </w:pPr>
            <w:r w:rsidRPr="00F21593">
              <w:rPr>
                <w:rFonts w:ascii="Tahoma" w:hAnsi="Tahoma" w:cs="Tahoma"/>
                <w:sz w:val="18"/>
                <w:szCs w:val="18"/>
              </w:rPr>
              <w:t>Open Elective</w:t>
            </w:r>
          </w:p>
          <w:p w:rsidRPr="00F21593" w:rsidR="00DC7E6A" w:rsidP="00F21593" w:rsidRDefault="000F0B36" w14:paraId="4DE7671B" w14:textId="23921BB9">
            <w:pPr>
              <w:ind w:left="164" w:hanging="164"/>
              <w:rPr>
                <w:rFonts w:ascii="Tahoma" w:hAnsi="Tahoma" w:cs="Tahoma"/>
                <w:sz w:val="18"/>
                <w:szCs w:val="18"/>
              </w:rPr>
            </w:pPr>
            <w:r w:rsidRPr="00F21593">
              <w:rPr>
                <w:rFonts w:ascii="Tahoma" w:hAnsi="Tahoma" w:cs="Tahoma"/>
                <w:sz w:val="18"/>
                <w:szCs w:val="18"/>
              </w:rPr>
              <w:t>Open Elective</w:t>
            </w:r>
          </w:p>
        </w:tc>
      </w:tr>
    </w:tbl>
    <w:p w:rsidRPr="00F21593" w:rsidR="000F0B36" w:rsidP="00F21593" w:rsidRDefault="000F0B36" w14:paraId="19071346" w14:textId="699B5FCF">
      <w:pPr>
        <w:rPr>
          <w:rFonts w:ascii="Tahoma" w:hAnsi="Tahoma" w:cs="Tahoma"/>
          <w:sz w:val="18"/>
          <w:szCs w:val="18"/>
        </w:rPr>
      </w:pPr>
      <w:r w:rsidRPr="2C6D09F0" w:rsidR="000F0B36">
        <w:rPr>
          <w:rFonts w:ascii="Tahoma" w:hAnsi="Tahoma" w:cs="Tahoma"/>
          <w:sz w:val="18"/>
          <w:szCs w:val="18"/>
        </w:rPr>
        <w:t>PR = pre-requisite(s) required</w:t>
      </w:r>
      <w:r w:rsidRPr="2C6D09F0" w:rsidR="1E9B6B8D">
        <w:rPr>
          <w:rFonts w:ascii="Tahoma" w:hAnsi="Tahoma" w:cs="Tahoma"/>
          <w:sz w:val="18"/>
          <w:szCs w:val="18"/>
        </w:rPr>
        <w:t xml:space="preserve">.        </w:t>
      </w:r>
      <w:r w:rsidRPr="2C6D09F0" w:rsidR="000F0B36">
        <w:rPr>
          <w:rFonts w:ascii="Tahoma" w:hAnsi="Tahoma" w:cs="Tahoma"/>
          <w:sz w:val="18"/>
          <w:szCs w:val="18"/>
        </w:rPr>
        <w:t xml:space="preserve">L = </w:t>
      </w:r>
      <w:proofErr w:type="gramStart"/>
      <w:r w:rsidRPr="2C6D09F0" w:rsidR="000F0B36">
        <w:rPr>
          <w:rFonts w:ascii="Tahoma" w:hAnsi="Tahoma" w:cs="Tahoma"/>
          <w:sz w:val="18"/>
          <w:szCs w:val="18"/>
        </w:rPr>
        <w:t>three hour</w:t>
      </w:r>
      <w:proofErr w:type="gramEnd"/>
      <w:r w:rsidRPr="2C6D09F0" w:rsidR="000F0B36">
        <w:rPr>
          <w:rFonts w:ascii="Tahoma" w:hAnsi="Tahoma" w:cs="Tahoma"/>
          <w:sz w:val="18"/>
          <w:szCs w:val="18"/>
        </w:rPr>
        <w:t xml:space="preserve"> lab is required</w:t>
      </w:r>
      <w:proofErr w:type="gramStart"/>
      <w:proofErr w:type="gramEnd"/>
    </w:p>
    <w:p w:rsidRPr="00F21593" w:rsidR="000F0B36" w:rsidP="00F21593" w:rsidRDefault="000F0B36" w14:paraId="3F7B1462" w14:textId="77777777">
      <w:pPr>
        <w:rPr>
          <w:rFonts w:ascii="Tahoma" w:hAnsi="Tahoma" w:cs="Tahoma"/>
          <w:sz w:val="18"/>
          <w:szCs w:val="18"/>
        </w:rPr>
      </w:pPr>
    </w:p>
    <w:p w:rsidRPr="00F21593" w:rsidR="000F0B36" w:rsidP="00F21593" w:rsidRDefault="000F0B36" w14:paraId="6FC9D707" w14:textId="44EC7C1D">
      <w:pPr>
        <w:rPr>
          <w:rFonts w:ascii="Tahoma" w:hAnsi="Tahoma" w:cs="Tahoma"/>
          <w:sz w:val="18"/>
          <w:szCs w:val="18"/>
        </w:rPr>
      </w:pPr>
      <w:r w:rsidRPr="00F21593">
        <w:rPr>
          <w:rFonts w:ascii="Tahoma" w:hAnsi="Tahoma" w:cs="Tahoma"/>
          <w:sz w:val="18"/>
          <w:szCs w:val="18"/>
        </w:rPr>
        <w:t>* To complete the Public and Community Health concentration, students must take five (5) courses from the four (4) categories listed in the catalog with at least one (1) course from each category.</w:t>
      </w:r>
    </w:p>
    <w:p w:rsidRPr="00F21593" w:rsidR="000F0B36" w:rsidP="00F21593" w:rsidRDefault="000F0B36" w14:paraId="2D4B292C" w14:textId="77777777">
      <w:pPr>
        <w:rPr>
          <w:rFonts w:ascii="Tahoma" w:hAnsi="Tahoma" w:cs="Tahoma"/>
          <w:sz w:val="18"/>
          <w:szCs w:val="18"/>
        </w:rPr>
      </w:pPr>
    </w:p>
    <w:p w:rsidRPr="00F21593" w:rsidR="000F0B36" w:rsidP="00F21593" w:rsidRDefault="000F0B36" w14:paraId="377739C1" w14:textId="77777777">
      <w:pPr>
        <w:rPr>
          <w:rFonts w:ascii="Tahoma" w:hAnsi="Tahoma" w:cs="Tahoma"/>
          <w:sz w:val="18"/>
          <w:szCs w:val="18"/>
        </w:rPr>
      </w:pPr>
      <w:r w:rsidRPr="00F21593">
        <w:rPr>
          <w:rFonts w:ascii="Tahoma" w:hAnsi="Tahoma" w:cs="Tahoma"/>
          <w:sz w:val="18"/>
          <w:szCs w:val="18"/>
        </w:rPr>
        <w:t>Notes:</w:t>
      </w:r>
    </w:p>
    <w:p w:rsidRPr="00F21593" w:rsidR="000F0B36" w:rsidP="00F21593" w:rsidRDefault="000F0B36" w14:paraId="415601F7" w14:textId="77777777">
      <w:pPr>
        <w:rPr>
          <w:rFonts w:ascii="Tahoma" w:hAnsi="Tahoma" w:cs="Tahoma"/>
          <w:sz w:val="18"/>
          <w:szCs w:val="18"/>
        </w:rPr>
      </w:pPr>
    </w:p>
    <w:p w:rsidRPr="00F21593" w:rsidR="000F0B36" w:rsidP="00F21593" w:rsidRDefault="000F0B36" w14:paraId="21187098" w14:textId="77777777">
      <w:pPr>
        <w:pStyle w:val="ListParagraph"/>
        <w:numPr>
          <w:ilvl w:val="0"/>
          <w:numId w:val="7"/>
        </w:numPr>
        <w:rPr>
          <w:rFonts w:ascii="Tahoma" w:hAnsi="Tahoma" w:cs="Tahoma"/>
          <w:sz w:val="18"/>
          <w:szCs w:val="18"/>
        </w:rPr>
      </w:pPr>
      <w:r w:rsidRPr="00F21593">
        <w:rPr>
          <w:rFonts w:ascii="Tahoma" w:hAnsi="Tahoma" w:cs="Tahoma"/>
          <w:sz w:val="18"/>
          <w:szCs w:val="18"/>
        </w:rPr>
        <w:t>You are strongly encouraged to seek assistance from your advisor especially if you are a transfer student.</w:t>
      </w:r>
    </w:p>
    <w:p w:rsidRPr="00F21593" w:rsidR="000F0B36" w:rsidP="00F21593" w:rsidRDefault="000F0B36" w14:paraId="6CCD8AA8" w14:textId="0CF4A988">
      <w:pPr>
        <w:pStyle w:val="ListParagraph"/>
        <w:numPr>
          <w:ilvl w:val="0"/>
          <w:numId w:val="7"/>
        </w:numPr>
        <w:rPr>
          <w:rFonts w:ascii="Tahoma" w:hAnsi="Tahoma" w:cs="Tahoma"/>
          <w:sz w:val="18"/>
          <w:szCs w:val="18"/>
        </w:rPr>
      </w:pPr>
      <w:r w:rsidRPr="00F21593">
        <w:rPr>
          <w:rFonts w:ascii="Tahoma" w:hAnsi="Tahoma" w:cs="Tahoma"/>
          <w:sz w:val="18"/>
          <w:szCs w:val="18"/>
        </w:rPr>
        <w:t>CHEM 103 is offered in fall semester only</w:t>
      </w:r>
    </w:p>
    <w:p w:rsidRPr="00F21593" w:rsidR="000F0B36" w:rsidP="00F21593" w:rsidRDefault="000F0B36" w14:paraId="244D4C8A" w14:textId="0F2F53E0">
      <w:pPr>
        <w:pStyle w:val="ListParagraph"/>
        <w:numPr>
          <w:ilvl w:val="0"/>
          <w:numId w:val="7"/>
        </w:numPr>
        <w:rPr>
          <w:rFonts w:ascii="Tahoma" w:hAnsi="Tahoma" w:cs="Tahoma"/>
          <w:sz w:val="18"/>
          <w:szCs w:val="18"/>
        </w:rPr>
      </w:pPr>
      <w:r w:rsidRPr="00F21593">
        <w:rPr>
          <w:rFonts w:ascii="Tahoma" w:hAnsi="Tahoma" w:cs="Tahoma"/>
          <w:sz w:val="18"/>
          <w:szCs w:val="18"/>
        </w:rPr>
        <w:t>If you are a transfer student, you are encouraged to use R.A.M.S. to identify transfer courses that meet FSU requirements.  If the course does not meet the FSU requirement, you can meet with the chair of the related Department to share the syllabus for further discussion</w:t>
      </w:r>
    </w:p>
    <w:p w:rsidRPr="00F21593" w:rsidR="00ED459E" w:rsidP="00F21593" w:rsidRDefault="000F0B36" w14:paraId="1C1A4797" w14:textId="169B7C2B">
      <w:pPr>
        <w:pStyle w:val="ListParagraph"/>
        <w:numPr>
          <w:ilvl w:val="0"/>
          <w:numId w:val="7"/>
        </w:numPr>
        <w:rPr>
          <w:rFonts w:ascii="Tahoma" w:hAnsi="Tahoma" w:cs="Tahoma"/>
          <w:sz w:val="18"/>
          <w:szCs w:val="18"/>
        </w:rPr>
      </w:pPr>
      <w:r w:rsidRPr="00F21593">
        <w:rPr>
          <w:rFonts w:ascii="Tahoma" w:hAnsi="Tahoma" w:cs="Tahoma"/>
          <w:sz w:val="18"/>
          <w:szCs w:val="18"/>
        </w:rPr>
        <w:t>A list of electives is available from your advisor.</w:t>
      </w:r>
    </w:p>
    <w:sectPr w:rsidRPr="00F21593" w:rsidR="00ED459E">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3220" w:rsidP="001A62B9" w:rsidRDefault="00933220" w14:paraId="73A45353" w14:textId="77777777">
      <w:r>
        <w:separator/>
      </w:r>
    </w:p>
  </w:endnote>
  <w:endnote w:type="continuationSeparator" w:id="0">
    <w:p w:rsidR="00933220" w:rsidP="001A62B9" w:rsidRDefault="00933220" w14:paraId="4272A4C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nica">
    <w:altName w:val="Wide Lati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3220" w:rsidP="001A62B9" w:rsidRDefault="00933220" w14:paraId="323679F7" w14:textId="77777777">
      <w:r>
        <w:separator/>
      </w:r>
    </w:p>
  </w:footnote>
  <w:footnote w:type="continuationSeparator" w:id="0">
    <w:p w:rsidR="00933220" w:rsidP="001A62B9" w:rsidRDefault="00933220" w14:paraId="4B36DE9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E45EC"/>
    <w:multiLevelType w:val="hybridMultilevel"/>
    <w:tmpl w:val="5CF47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50835"/>
    <w:multiLevelType w:val="hybridMultilevel"/>
    <w:tmpl w:val="C6100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0376F"/>
    <w:multiLevelType w:val="hybridMultilevel"/>
    <w:tmpl w:val="51DE2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854C6"/>
    <w:multiLevelType w:val="hybridMultilevel"/>
    <w:tmpl w:val="D7187086"/>
    <w:lvl w:ilvl="0" w:tplc="3AD09EBC">
      <w:start w:val="1"/>
      <w:numFmt w:val="bullet"/>
      <w:lvlText w:val="•"/>
      <w:lvlJc w:val="left"/>
      <w:pPr>
        <w:tabs>
          <w:tab w:val="num" w:pos="720"/>
        </w:tabs>
        <w:ind w:left="720" w:hanging="360"/>
      </w:pPr>
      <w:rPr>
        <w:rFonts w:hint="default" w:ascii="Arial" w:hAnsi="Arial"/>
      </w:rPr>
    </w:lvl>
    <w:lvl w:ilvl="1" w:tplc="0C64CB80">
      <w:start w:val="1"/>
      <w:numFmt w:val="bullet"/>
      <w:lvlText w:val="•"/>
      <w:lvlJc w:val="left"/>
      <w:pPr>
        <w:tabs>
          <w:tab w:val="num" w:pos="1440"/>
        </w:tabs>
        <w:ind w:left="1440" w:hanging="360"/>
      </w:pPr>
      <w:rPr>
        <w:rFonts w:hint="default" w:ascii="Arial" w:hAnsi="Arial"/>
      </w:rPr>
    </w:lvl>
    <w:lvl w:ilvl="2" w:tplc="7BF4E0C0" w:tentative="1">
      <w:start w:val="1"/>
      <w:numFmt w:val="bullet"/>
      <w:lvlText w:val="•"/>
      <w:lvlJc w:val="left"/>
      <w:pPr>
        <w:tabs>
          <w:tab w:val="num" w:pos="2160"/>
        </w:tabs>
        <w:ind w:left="2160" w:hanging="360"/>
      </w:pPr>
      <w:rPr>
        <w:rFonts w:hint="default" w:ascii="Arial" w:hAnsi="Arial"/>
      </w:rPr>
    </w:lvl>
    <w:lvl w:ilvl="3" w:tplc="A2C83D42" w:tentative="1">
      <w:start w:val="1"/>
      <w:numFmt w:val="bullet"/>
      <w:lvlText w:val="•"/>
      <w:lvlJc w:val="left"/>
      <w:pPr>
        <w:tabs>
          <w:tab w:val="num" w:pos="2880"/>
        </w:tabs>
        <w:ind w:left="2880" w:hanging="360"/>
      </w:pPr>
      <w:rPr>
        <w:rFonts w:hint="default" w:ascii="Arial" w:hAnsi="Arial"/>
      </w:rPr>
    </w:lvl>
    <w:lvl w:ilvl="4" w:tplc="85DEFF48" w:tentative="1">
      <w:start w:val="1"/>
      <w:numFmt w:val="bullet"/>
      <w:lvlText w:val="•"/>
      <w:lvlJc w:val="left"/>
      <w:pPr>
        <w:tabs>
          <w:tab w:val="num" w:pos="3600"/>
        </w:tabs>
        <w:ind w:left="3600" w:hanging="360"/>
      </w:pPr>
      <w:rPr>
        <w:rFonts w:hint="default" w:ascii="Arial" w:hAnsi="Arial"/>
      </w:rPr>
    </w:lvl>
    <w:lvl w:ilvl="5" w:tplc="2CEE1DD4" w:tentative="1">
      <w:start w:val="1"/>
      <w:numFmt w:val="bullet"/>
      <w:lvlText w:val="•"/>
      <w:lvlJc w:val="left"/>
      <w:pPr>
        <w:tabs>
          <w:tab w:val="num" w:pos="4320"/>
        </w:tabs>
        <w:ind w:left="4320" w:hanging="360"/>
      </w:pPr>
      <w:rPr>
        <w:rFonts w:hint="default" w:ascii="Arial" w:hAnsi="Arial"/>
      </w:rPr>
    </w:lvl>
    <w:lvl w:ilvl="6" w:tplc="99A82B06" w:tentative="1">
      <w:start w:val="1"/>
      <w:numFmt w:val="bullet"/>
      <w:lvlText w:val="•"/>
      <w:lvlJc w:val="left"/>
      <w:pPr>
        <w:tabs>
          <w:tab w:val="num" w:pos="5040"/>
        </w:tabs>
        <w:ind w:left="5040" w:hanging="360"/>
      </w:pPr>
      <w:rPr>
        <w:rFonts w:hint="default" w:ascii="Arial" w:hAnsi="Arial"/>
      </w:rPr>
    </w:lvl>
    <w:lvl w:ilvl="7" w:tplc="09D489F2" w:tentative="1">
      <w:start w:val="1"/>
      <w:numFmt w:val="bullet"/>
      <w:lvlText w:val="•"/>
      <w:lvlJc w:val="left"/>
      <w:pPr>
        <w:tabs>
          <w:tab w:val="num" w:pos="5760"/>
        </w:tabs>
        <w:ind w:left="5760" w:hanging="360"/>
      </w:pPr>
      <w:rPr>
        <w:rFonts w:hint="default" w:ascii="Arial" w:hAnsi="Arial"/>
      </w:rPr>
    </w:lvl>
    <w:lvl w:ilvl="8" w:tplc="726C0CC2"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40037C5E"/>
    <w:multiLevelType w:val="hybridMultilevel"/>
    <w:tmpl w:val="0512DB60"/>
    <w:lvl w:ilvl="0" w:tplc="6FE2BF3A">
      <w:start w:val="1"/>
      <w:numFmt w:val="bullet"/>
      <w:lvlText w:val=""/>
      <w:lvlJc w:val="left"/>
      <w:pPr>
        <w:tabs>
          <w:tab w:val="num" w:pos="720"/>
        </w:tabs>
        <w:ind w:left="720" w:hanging="360"/>
      </w:pPr>
      <w:rPr>
        <w:rFonts w:hint="default" w:ascii="Wingdings 2" w:hAnsi="Wingdings 2"/>
      </w:rPr>
    </w:lvl>
    <w:lvl w:ilvl="1" w:tplc="ACE66B12">
      <w:numFmt w:val="bullet"/>
      <w:lvlText w:val="•"/>
      <w:lvlJc w:val="left"/>
      <w:pPr>
        <w:tabs>
          <w:tab w:val="num" w:pos="1440"/>
        </w:tabs>
        <w:ind w:left="1440" w:hanging="360"/>
      </w:pPr>
      <w:rPr>
        <w:rFonts w:hint="default" w:ascii="Arial" w:hAnsi="Arial"/>
      </w:rPr>
    </w:lvl>
    <w:lvl w:ilvl="2" w:tplc="F6B2CA80">
      <w:start w:val="1"/>
      <w:numFmt w:val="bullet"/>
      <w:lvlText w:val=""/>
      <w:lvlJc w:val="left"/>
      <w:pPr>
        <w:tabs>
          <w:tab w:val="num" w:pos="2160"/>
        </w:tabs>
        <w:ind w:left="2160" w:hanging="360"/>
      </w:pPr>
      <w:rPr>
        <w:rFonts w:hint="default" w:ascii="Wingdings 2" w:hAnsi="Wingdings 2"/>
      </w:rPr>
    </w:lvl>
    <w:lvl w:ilvl="3" w:tplc="375889B0" w:tentative="1">
      <w:start w:val="1"/>
      <w:numFmt w:val="bullet"/>
      <w:lvlText w:val=""/>
      <w:lvlJc w:val="left"/>
      <w:pPr>
        <w:tabs>
          <w:tab w:val="num" w:pos="2880"/>
        </w:tabs>
        <w:ind w:left="2880" w:hanging="360"/>
      </w:pPr>
      <w:rPr>
        <w:rFonts w:hint="default" w:ascii="Wingdings 2" w:hAnsi="Wingdings 2"/>
      </w:rPr>
    </w:lvl>
    <w:lvl w:ilvl="4" w:tplc="B03EC6A8" w:tentative="1">
      <w:start w:val="1"/>
      <w:numFmt w:val="bullet"/>
      <w:lvlText w:val=""/>
      <w:lvlJc w:val="left"/>
      <w:pPr>
        <w:tabs>
          <w:tab w:val="num" w:pos="3600"/>
        </w:tabs>
        <w:ind w:left="3600" w:hanging="360"/>
      </w:pPr>
      <w:rPr>
        <w:rFonts w:hint="default" w:ascii="Wingdings 2" w:hAnsi="Wingdings 2"/>
      </w:rPr>
    </w:lvl>
    <w:lvl w:ilvl="5" w:tplc="9BBE4318" w:tentative="1">
      <w:start w:val="1"/>
      <w:numFmt w:val="bullet"/>
      <w:lvlText w:val=""/>
      <w:lvlJc w:val="left"/>
      <w:pPr>
        <w:tabs>
          <w:tab w:val="num" w:pos="4320"/>
        </w:tabs>
        <w:ind w:left="4320" w:hanging="360"/>
      </w:pPr>
      <w:rPr>
        <w:rFonts w:hint="default" w:ascii="Wingdings 2" w:hAnsi="Wingdings 2"/>
      </w:rPr>
    </w:lvl>
    <w:lvl w:ilvl="6" w:tplc="507AD6A6" w:tentative="1">
      <w:start w:val="1"/>
      <w:numFmt w:val="bullet"/>
      <w:lvlText w:val=""/>
      <w:lvlJc w:val="left"/>
      <w:pPr>
        <w:tabs>
          <w:tab w:val="num" w:pos="5040"/>
        </w:tabs>
        <w:ind w:left="5040" w:hanging="360"/>
      </w:pPr>
      <w:rPr>
        <w:rFonts w:hint="default" w:ascii="Wingdings 2" w:hAnsi="Wingdings 2"/>
      </w:rPr>
    </w:lvl>
    <w:lvl w:ilvl="7" w:tplc="4B964DF6" w:tentative="1">
      <w:start w:val="1"/>
      <w:numFmt w:val="bullet"/>
      <w:lvlText w:val=""/>
      <w:lvlJc w:val="left"/>
      <w:pPr>
        <w:tabs>
          <w:tab w:val="num" w:pos="5760"/>
        </w:tabs>
        <w:ind w:left="5760" w:hanging="360"/>
      </w:pPr>
      <w:rPr>
        <w:rFonts w:hint="default" w:ascii="Wingdings 2" w:hAnsi="Wingdings 2"/>
      </w:rPr>
    </w:lvl>
    <w:lvl w:ilvl="8" w:tplc="40C41980" w:tentative="1">
      <w:start w:val="1"/>
      <w:numFmt w:val="bullet"/>
      <w:lvlText w:val=""/>
      <w:lvlJc w:val="left"/>
      <w:pPr>
        <w:tabs>
          <w:tab w:val="num" w:pos="6480"/>
        </w:tabs>
        <w:ind w:left="6480" w:hanging="360"/>
      </w:pPr>
      <w:rPr>
        <w:rFonts w:hint="default" w:ascii="Wingdings 2" w:hAnsi="Wingdings 2"/>
      </w:rPr>
    </w:lvl>
  </w:abstractNum>
  <w:abstractNum w:abstractNumId="5" w15:restartNumberingAfterBreak="0">
    <w:nsid w:val="65F655D8"/>
    <w:multiLevelType w:val="hybridMultilevel"/>
    <w:tmpl w:val="F25C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31133"/>
    <w:multiLevelType w:val="hybridMultilevel"/>
    <w:tmpl w:val="13702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3A"/>
    <w:rsid w:val="00002C6F"/>
    <w:rsid w:val="000041D2"/>
    <w:rsid w:val="00005255"/>
    <w:rsid w:val="00007FAF"/>
    <w:rsid w:val="000101B8"/>
    <w:rsid w:val="0001143B"/>
    <w:rsid w:val="000145ED"/>
    <w:rsid w:val="00014DF7"/>
    <w:rsid w:val="00021EA8"/>
    <w:rsid w:val="0002322D"/>
    <w:rsid w:val="00026508"/>
    <w:rsid w:val="0003038A"/>
    <w:rsid w:val="000402C1"/>
    <w:rsid w:val="000460EC"/>
    <w:rsid w:val="0006262B"/>
    <w:rsid w:val="00063D63"/>
    <w:rsid w:val="00064E1C"/>
    <w:rsid w:val="0006606C"/>
    <w:rsid w:val="000671FD"/>
    <w:rsid w:val="00067FFE"/>
    <w:rsid w:val="000755E2"/>
    <w:rsid w:val="00080C63"/>
    <w:rsid w:val="00085808"/>
    <w:rsid w:val="00093932"/>
    <w:rsid w:val="0009460A"/>
    <w:rsid w:val="00095BEA"/>
    <w:rsid w:val="000A422D"/>
    <w:rsid w:val="000A5625"/>
    <w:rsid w:val="000B1B30"/>
    <w:rsid w:val="000B295F"/>
    <w:rsid w:val="000B57C4"/>
    <w:rsid w:val="000C5B4F"/>
    <w:rsid w:val="000C7A18"/>
    <w:rsid w:val="000D4DC7"/>
    <w:rsid w:val="000E0067"/>
    <w:rsid w:val="000E227B"/>
    <w:rsid w:val="000E328F"/>
    <w:rsid w:val="000E3817"/>
    <w:rsid w:val="000F0B36"/>
    <w:rsid w:val="000F25C5"/>
    <w:rsid w:val="000F435E"/>
    <w:rsid w:val="000F67D3"/>
    <w:rsid w:val="0011316D"/>
    <w:rsid w:val="00113216"/>
    <w:rsid w:val="00113DA9"/>
    <w:rsid w:val="00124AF6"/>
    <w:rsid w:val="00125AEC"/>
    <w:rsid w:val="00150E65"/>
    <w:rsid w:val="00151452"/>
    <w:rsid w:val="00156394"/>
    <w:rsid w:val="00160C7C"/>
    <w:rsid w:val="001675BD"/>
    <w:rsid w:val="00176A40"/>
    <w:rsid w:val="0017758C"/>
    <w:rsid w:val="00186F0D"/>
    <w:rsid w:val="0019623A"/>
    <w:rsid w:val="00197E58"/>
    <w:rsid w:val="001A023B"/>
    <w:rsid w:val="001A1469"/>
    <w:rsid w:val="001A28F2"/>
    <w:rsid w:val="001A490C"/>
    <w:rsid w:val="001A62B9"/>
    <w:rsid w:val="001A7EB4"/>
    <w:rsid w:val="001B0DE4"/>
    <w:rsid w:val="001B4263"/>
    <w:rsid w:val="001B4335"/>
    <w:rsid w:val="001C101C"/>
    <w:rsid w:val="001C4132"/>
    <w:rsid w:val="001D5575"/>
    <w:rsid w:val="001E0BE0"/>
    <w:rsid w:val="001E17EF"/>
    <w:rsid w:val="001E78FE"/>
    <w:rsid w:val="001F22BB"/>
    <w:rsid w:val="001F51A4"/>
    <w:rsid w:val="00207EC3"/>
    <w:rsid w:val="00210387"/>
    <w:rsid w:val="00211CEF"/>
    <w:rsid w:val="00223418"/>
    <w:rsid w:val="00223BBE"/>
    <w:rsid w:val="00224256"/>
    <w:rsid w:val="002340E5"/>
    <w:rsid w:val="00243626"/>
    <w:rsid w:val="00244933"/>
    <w:rsid w:val="00252AAC"/>
    <w:rsid w:val="002530B0"/>
    <w:rsid w:val="00255FB5"/>
    <w:rsid w:val="002610C0"/>
    <w:rsid w:val="00262C31"/>
    <w:rsid w:val="00263F40"/>
    <w:rsid w:val="00265C25"/>
    <w:rsid w:val="002714FD"/>
    <w:rsid w:val="00273E91"/>
    <w:rsid w:val="00286F8A"/>
    <w:rsid w:val="0029164B"/>
    <w:rsid w:val="002936C3"/>
    <w:rsid w:val="00294A2A"/>
    <w:rsid w:val="002A08CA"/>
    <w:rsid w:val="002A1BA0"/>
    <w:rsid w:val="002A3516"/>
    <w:rsid w:val="002A5D31"/>
    <w:rsid w:val="002A6A74"/>
    <w:rsid w:val="002A70C0"/>
    <w:rsid w:val="002A7BB3"/>
    <w:rsid w:val="002B4032"/>
    <w:rsid w:val="002B79AA"/>
    <w:rsid w:val="002C3322"/>
    <w:rsid w:val="002C5E3B"/>
    <w:rsid w:val="002D275A"/>
    <w:rsid w:val="002D5F9E"/>
    <w:rsid w:val="002E193A"/>
    <w:rsid w:val="002F727A"/>
    <w:rsid w:val="003002E3"/>
    <w:rsid w:val="00304E74"/>
    <w:rsid w:val="0031019F"/>
    <w:rsid w:val="00311CE3"/>
    <w:rsid w:val="003206AB"/>
    <w:rsid w:val="00330832"/>
    <w:rsid w:val="00337F00"/>
    <w:rsid w:val="00341B42"/>
    <w:rsid w:val="00344165"/>
    <w:rsid w:val="00347ABD"/>
    <w:rsid w:val="00347BA7"/>
    <w:rsid w:val="00347E66"/>
    <w:rsid w:val="00351DF0"/>
    <w:rsid w:val="00352C82"/>
    <w:rsid w:val="00355070"/>
    <w:rsid w:val="0036253E"/>
    <w:rsid w:val="00370DF8"/>
    <w:rsid w:val="003744B7"/>
    <w:rsid w:val="00380770"/>
    <w:rsid w:val="00381C80"/>
    <w:rsid w:val="00381E12"/>
    <w:rsid w:val="003848DF"/>
    <w:rsid w:val="003910E7"/>
    <w:rsid w:val="00392C28"/>
    <w:rsid w:val="00397CBC"/>
    <w:rsid w:val="003A19E7"/>
    <w:rsid w:val="003A273C"/>
    <w:rsid w:val="003A3161"/>
    <w:rsid w:val="003A50D6"/>
    <w:rsid w:val="003B0EC0"/>
    <w:rsid w:val="003B1512"/>
    <w:rsid w:val="003B322B"/>
    <w:rsid w:val="003C3453"/>
    <w:rsid w:val="003D0839"/>
    <w:rsid w:val="003D71CD"/>
    <w:rsid w:val="003E2244"/>
    <w:rsid w:val="003E4CFA"/>
    <w:rsid w:val="003E4EA6"/>
    <w:rsid w:val="003E5A35"/>
    <w:rsid w:val="003E6B82"/>
    <w:rsid w:val="003E6D6E"/>
    <w:rsid w:val="003F1848"/>
    <w:rsid w:val="003F57ED"/>
    <w:rsid w:val="00403812"/>
    <w:rsid w:val="00406A63"/>
    <w:rsid w:val="0041363E"/>
    <w:rsid w:val="00420036"/>
    <w:rsid w:val="00420210"/>
    <w:rsid w:val="00420519"/>
    <w:rsid w:val="004207C3"/>
    <w:rsid w:val="00422098"/>
    <w:rsid w:val="00427E8B"/>
    <w:rsid w:val="00442776"/>
    <w:rsid w:val="0045000D"/>
    <w:rsid w:val="00453632"/>
    <w:rsid w:val="004550D2"/>
    <w:rsid w:val="00461068"/>
    <w:rsid w:val="00464F08"/>
    <w:rsid w:val="004746F6"/>
    <w:rsid w:val="0047773A"/>
    <w:rsid w:val="00482215"/>
    <w:rsid w:val="0048353D"/>
    <w:rsid w:val="00483DAC"/>
    <w:rsid w:val="0048552D"/>
    <w:rsid w:val="00497D94"/>
    <w:rsid w:val="004A0D7D"/>
    <w:rsid w:val="004A5599"/>
    <w:rsid w:val="004B7F18"/>
    <w:rsid w:val="004C11D8"/>
    <w:rsid w:val="004C6B4D"/>
    <w:rsid w:val="004D041F"/>
    <w:rsid w:val="004E39D8"/>
    <w:rsid w:val="004F45A5"/>
    <w:rsid w:val="004F552C"/>
    <w:rsid w:val="004F6798"/>
    <w:rsid w:val="00505D0C"/>
    <w:rsid w:val="00511B5B"/>
    <w:rsid w:val="0052031B"/>
    <w:rsid w:val="00520B55"/>
    <w:rsid w:val="00526331"/>
    <w:rsid w:val="00526B8B"/>
    <w:rsid w:val="00530104"/>
    <w:rsid w:val="00532DF6"/>
    <w:rsid w:val="00535E6A"/>
    <w:rsid w:val="00543722"/>
    <w:rsid w:val="00543821"/>
    <w:rsid w:val="005454AD"/>
    <w:rsid w:val="005514DE"/>
    <w:rsid w:val="00553671"/>
    <w:rsid w:val="0056088A"/>
    <w:rsid w:val="005609E6"/>
    <w:rsid w:val="0056471A"/>
    <w:rsid w:val="00567D26"/>
    <w:rsid w:val="0057093A"/>
    <w:rsid w:val="00570A31"/>
    <w:rsid w:val="00580563"/>
    <w:rsid w:val="005828CF"/>
    <w:rsid w:val="005837CD"/>
    <w:rsid w:val="00585045"/>
    <w:rsid w:val="0058776E"/>
    <w:rsid w:val="00590B93"/>
    <w:rsid w:val="005942BC"/>
    <w:rsid w:val="00594597"/>
    <w:rsid w:val="005A18DB"/>
    <w:rsid w:val="005A49E9"/>
    <w:rsid w:val="005A5CDD"/>
    <w:rsid w:val="005B6255"/>
    <w:rsid w:val="005C0C9E"/>
    <w:rsid w:val="005C2176"/>
    <w:rsid w:val="005C4BF7"/>
    <w:rsid w:val="005D2EB5"/>
    <w:rsid w:val="005D5296"/>
    <w:rsid w:val="005D5845"/>
    <w:rsid w:val="005D6407"/>
    <w:rsid w:val="005E43D9"/>
    <w:rsid w:val="005E5E06"/>
    <w:rsid w:val="005F02DE"/>
    <w:rsid w:val="005F0E0A"/>
    <w:rsid w:val="005F1DBC"/>
    <w:rsid w:val="00600713"/>
    <w:rsid w:val="00610E76"/>
    <w:rsid w:val="00614319"/>
    <w:rsid w:val="00616353"/>
    <w:rsid w:val="00620042"/>
    <w:rsid w:val="00623983"/>
    <w:rsid w:val="00626B5A"/>
    <w:rsid w:val="0063083D"/>
    <w:rsid w:val="00635347"/>
    <w:rsid w:val="00640AF6"/>
    <w:rsid w:val="00646C4E"/>
    <w:rsid w:val="00647123"/>
    <w:rsid w:val="00661053"/>
    <w:rsid w:val="00661DA4"/>
    <w:rsid w:val="00664755"/>
    <w:rsid w:val="00671372"/>
    <w:rsid w:val="00671F47"/>
    <w:rsid w:val="00672EFE"/>
    <w:rsid w:val="00673EE7"/>
    <w:rsid w:val="00674F7F"/>
    <w:rsid w:val="00675F4A"/>
    <w:rsid w:val="00676082"/>
    <w:rsid w:val="00676591"/>
    <w:rsid w:val="0069085D"/>
    <w:rsid w:val="00693518"/>
    <w:rsid w:val="00697295"/>
    <w:rsid w:val="006A084F"/>
    <w:rsid w:val="006A48C5"/>
    <w:rsid w:val="006A6ED7"/>
    <w:rsid w:val="006B05C2"/>
    <w:rsid w:val="006B5D10"/>
    <w:rsid w:val="006C29C5"/>
    <w:rsid w:val="006C32DC"/>
    <w:rsid w:val="006C4A66"/>
    <w:rsid w:val="006C51C7"/>
    <w:rsid w:val="006C6DAA"/>
    <w:rsid w:val="006D6C8E"/>
    <w:rsid w:val="006D7436"/>
    <w:rsid w:val="006D7F41"/>
    <w:rsid w:val="006E1662"/>
    <w:rsid w:val="006E198F"/>
    <w:rsid w:val="006F0825"/>
    <w:rsid w:val="006F11C3"/>
    <w:rsid w:val="006F340D"/>
    <w:rsid w:val="006F7745"/>
    <w:rsid w:val="00703A61"/>
    <w:rsid w:val="00706EDC"/>
    <w:rsid w:val="007117D1"/>
    <w:rsid w:val="007230C9"/>
    <w:rsid w:val="00726E3C"/>
    <w:rsid w:val="00733646"/>
    <w:rsid w:val="00733D40"/>
    <w:rsid w:val="00734110"/>
    <w:rsid w:val="00734E56"/>
    <w:rsid w:val="00741D4F"/>
    <w:rsid w:val="00741EAD"/>
    <w:rsid w:val="00744A84"/>
    <w:rsid w:val="00746E93"/>
    <w:rsid w:val="00751427"/>
    <w:rsid w:val="007523F1"/>
    <w:rsid w:val="00757E12"/>
    <w:rsid w:val="00762577"/>
    <w:rsid w:val="00766F85"/>
    <w:rsid w:val="0076760C"/>
    <w:rsid w:val="00774CB0"/>
    <w:rsid w:val="00775854"/>
    <w:rsid w:val="007800D3"/>
    <w:rsid w:val="007805B1"/>
    <w:rsid w:val="00786457"/>
    <w:rsid w:val="0079121B"/>
    <w:rsid w:val="0079694F"/>
    <w:rsid w:val="007A4F87"/>
    <w:rsid w:val="007A7D49"/>
    <w:rsid w:val="007B0116"/>
    <w:rsid w:val="007B4FAF"/>
    <w:rsid w:val="007B5B0A"/>
    <w:rsid w:val="007C5B20"/>
    <w:rsid w:val="007D3E7A"/>
    <w:rsid w:val="007D7FAD"/>
    <w:rsid w:val="007E19D6"/>
    <w:rsid w:val="007E4CF4"/>
    <w:rsid w:val="007F596D"/>
    <w:rsid w:val="007F5B26"/>
    <w:rsid w:val="007F7850"/>
    <w:rsid w:val="0081331B"/>
    <w:rsid w:val="00817003"/>
    <w:rsid w:val="00833416"/>
    <w:rsid w:val="00835802"/>
    <w:rsid w:val="0084012B"/>
    <w:rsid w:val="008405C0"/>
    <w:rsid w:val="00843606"/>
    <w:rsid w:val="008509DB"/>
    <w:rsid w:val="0085388F"/>
    <w:rsid w:val="00857D3E"/>
    <w:rsid w:val="00861CA1"/>
    <w:rsid w:val="0086316A"/>
    <w:rsid w:val="00871FE3"/>
    <w:rsid w:val="0087421C"/>
    <w:rsid w:val="00876B71"/>
    <w:rsid w:val="008775C7"/>
    <w:rsid w:val="00880B62"/>
    <w:rsid w:val="00886C4F"/>
    <w:rsid w:val="00890496"/>
    <w:rsid w:val="008A234E"/>
    <w:rsid w:val="008C47F4"/>
    <w:rsid w:val="008C727C"/>
    <w:rsid w:val="008C7653"/>
    <w:rsid w:val="008D001E"/>
    <w:rsid w:val="008D23EE"/>
    <w:rsid w:val="008D75B2"/>
    <w:rsid w:val="008E61E2"/>
    <w:rsid w:val="008F17F4"/>
    <w:rsid w:val="008F337F"/>
    <w:rsid w:val="008F5061"/>
    <w:rsid w:val="008F7BF6"/>
    <w:rsid w:val="00901C47"/>
    <w:rsid w:val="00901EA0"/>
    <w:rsid w:val="00902300"/>
    <w:rsid w:val="00903284"/>
    <w:rsid w:val="009069E7"/>
    <w:rsid w:val="00907848"/>
    <w:rsid w:val="00917AD0"/>
    <w:rsid w:val="00921E9C"/>
    <w:rsid w:val="00932DCA"/>
    <w:rsid w:val="00933220"/>
    <w:rsid w:val="00936848"/>
    <w:rsid w:val="00936F30"/>
    <w:rsid w:val="00937080"/>
    <w:rsid w:val="00943DAC"/>
    <w:rsid w:val="00952267"/>
    <w:rsid w:val="00961CB2"/>
    <w:rsid w:val="00961ED2"/>
    <w:rsid w:val="00963A13"/>
    <w:rsid w:val="00971479"/>
    <w:rsid w:val="00971D7A"/>
    <w:rsid w:val="0099115B"/>
    <w:rsid w:val="00993F12"/>
    <w:rsid w:val="009947A2"/>
    <w:rsid w:val="0099728A"/>
    <w:rsid w:val="009A2CF2"/>
    <w:rsid w:val="009A3FFA"/>
    <w:rsid w:val="009A4210"/>
    <w:rsid w:val="009A4321"/>
    <w:rsid w:val="009A4AD9"/>
    <w:rsid w:val="009B51AC"/>
    <w:rsid w:val="009B7906"/>
    <w:rsid w:val="009C0713"/>
    <w:rsid w:val="009C1D79"/>
    <w:rsid w:val="009C7413"/>
    <w:rsid w:val="009D120E"/>
    <w:rsid w:val="009E38FE"/>
    <w:rsid w:val="009E490F"/>
    <w:rsid w:val="009E5A19"/>
    <w:rsid w:val="009F2C9E"/>
    <w:rsid w:val="009F4DD3"/>
    <w:rsid w:val="009F56BD"/>
    <w:rsid w:val="00A10B2E"/>
    <w:rsid w:val="00A11AA7"/>
    <w:rsid w:val="00A15F0C"/>
    <w:rsid w:val="00A27324"/>
    <w:rsid w:val="00A3237D"/>
    <w:rsid w:val="00A36B6F"/>
    <w:rsid w:val="00A37400"/>
    <w:rsid w:val="00A46684"/>
    <w:rsid w:val="00A62BE3"/>
    <w:rsid w:val="00A62CDB"/>
    <w:rsid w:val="00A64EA2"/>
    <w:rsid w:val="00A67142"/>
    <w:rsid w:val="00A67B25"/>
    <w:rsid w:val="00A71196"/>
    <w:rsid w:val="00A74520"/>
    <w:rsid w:val="00A74FC7"/>
    <w:rsid w:val="00A80012"/>
    <w:rsid w:val="00A85458"/>
    <w:rsid w:val="00A919C4"/>
    <w:rsid w:val="00A91CD6"/>
    <w:rsid w:val="00A96062"/>
    <w:rsid w:val="00AB10D3"/>
    <w:rsid w:val="00AB306A"/>
    <w:rsid w:val="00AB4C1A"/>
    <w:rsid w:val="00AB5AC0"/>
    <w:rsid w:val="00AB6F2B"/>
    <w:rsid w:val="00AC1D70"/>
    <w:rsid w:val="00AC2D04"/>
    <w:rsid w:val="00AD0AD2"/>
    <w:rsid w:val="00AD122B"/>
    <w:rsid w:val="00AD354C"/>
    <w:rsid w:val="00AD6C28"/>
    <w:rsid w:val="00AE42A3"/>
    <w:rsid w:val="00AE42F9"/>
    <w:rsid w:val="00AE595B"/>
    <w:rsid w:val="00AE6CCE"/>
    <w:rsid w:val="00AF03E5"/>
    <w:rsid w:val="00AF24DF"/>
    <w:rsid w:val="00AF58AF"/>
    <w:rsid w:val="00AF6140"/>
    <w:rsid w:val="00B05A72"/>
    <w:rsid w:val="00B11739"/>
    <w:rsid w:val="00B1428C"/>
    <w:rsid w:val="00B14422"/>
    <w:rsid w:val="00B20CF7"/>
    <w:rsid w:val="00B25DBA"/>
    <w:rsid w:val="00B30130"/>
    <w:rsid w:val="00B32B21"/>
    <w:rsid w:val="00B3378E"/>
    <w:rsid w:val="00B3578D"/>
    <w:rsid w:val="00B436FF"/>
    <w:rsid w:val="00B43B04"/>
    <w:rsid w:val="00B463D8"/>
    <w:rsid w:val="00B5029F"/>
    <w:rsid w:val="00B53241"/>
    <w:rsid w:val="00B53DE6"/>
    <w:rsid w:val="00B55DE2"/>
    <w:rsid w:val="00B57677"/>
    <w:rsid w:val="00B71058"/>
    <w:rsid w:val="00B71402"/>
    <w:rsid w:val="00B73C9A"/>
    <w:rsid w:val="00B76830"/>
    <w:rsid w:val="00B77A39"/>
    <w:rsid w:val="00B91A30"/>
    <w:rsid w:val="00B9478F"/>
    <w:rsid w:val="00B974D0"/>
    <w:rsid w:val="00BA53E3"/>
    <w:rsid w:val="00BB603F"/>
    <w:rsid w:val="00BC2329"/>
    <w:rsid w:val="00BC6950"/>
    <w:rsid w:val="00BC6D91"/>
    <w:rsid w:val="00BD209F"/>
    <w:rsid w:val="00BE61ED"/>
    <w:rsid w:val="00BE7BD4"/>
    <w:rsid w:val="00BF12DE"/>
    <w:rsid w:val="00BF2913"/>
    <w:rsid w:val="00BF394A"/>
    <w:rsid w:val="00BF436E"/>
    <w:rsid w:val="00BF4E10"/>
    <w:rsid w:val="00C01783"/>
    <w:rsid w:val="00C04998"/>
    <w:rsid w:val="00C20A42"/>
    <w:rsid w:val="00C21F74"/>
    <w:rsid w:val="00C22938"/>
    <w:rsid w:val="00C24558"/>
    <w:rsid w:val="00C3393B"/>
    <w:rsid w:val="00C45EAF"/>
    <w:rsid w:val="00C46241"/>
    <w:rsid w:val="00C500AD"/>
    <w:rsid w:val="00C52356"/>
    <w:rsid w:val="00C53DBB"/>
    <w:rsid w:val="00C57176"/>
    <w:rsid w:val="00C61602"/>
    <w:rsid w:val="00C63F9F"/>
    <w:rsid w:val="00C70B13"/>
    <w:rsid w:val="00C73DE5"/>
    <w:rsid w:val="00C805EC"/>
    <w:rsid w:val="00C83A9F"/>
    <w:rsid w:val="00C83C59"/>
    <w:rsid w:val="00C857F8"/>
    <w:rsid w:val="00C877E5"/>
    <w:rsid w:val="00C9181E"/>
    <w:rsid w:val="00C91994"/>
    <w:rsid w:val="00C91E85"/>
    <w:rsid w:val="00C9327C"/>
    <w:rsid w:val="00C96459"/>
    <w:rsid w:val="00CA0181"/>
    <w:rsid w:val="00CA56B6"/>
    <w:rsid w:val="00CB0E5F"/>
    <w:rsid w:val="00CB1B4B"/>
    <w:rsid w:val="00CB4010"/>
    <w:rsid w:val="00CB50DB"/>
    <w:rsid w:val="00CB5BFF"/>
    <w:rsid w:val="00CB7086"/>
    <w:rsid w:val="00CD1C78"/>
    <w:rsid w:val="00CE05AF"/>
    <w:rsid w:val="00CE1D1D"/>
    <w:rsid w:val="00CE2971"/>
    <w:rsid w:val="00CE6B8B"/>
    <w:rsid w:val="00CE7CEB"/>
    <w:rsid w:val="00CF6173"/>
    <w:rsid w:val="00CF7B5D"/>
    <w:rsid w:val="00D02143"/>
    <w:rsid w:val="00D17BEF"/>
    <w:rsid w:val="00D31B48"/>
    <w:rsid w:val="00D3282E"/>
    <w:rsid w:val="00D3326D"/>
    <w:rsid w:val="00D405A2"/>
    <w:rsid w:val="00D44034"/>
    <w:rsid w:val="00D51323"/>
    <w:rsid w:val="00D558E5"/>
    <w:rsid w:val="00D6127A"/>
    <w:rsid w:val="00D61488"/>
    <w:rsid w:val="00D6173A"/>
    <w:rsid w:val="00D679EE"/>
    <w:rsid w:val="00D71155"/>
    <w:rsid w:val="00D901B5"/>
    <w:rsid w:val="00D94A41"/>
    <w:rsid w:val="00D95A18"/>
    <w:rsid w:val="00D96CAA"/>
    <w:rsid w:val="00DA002E"/>
    <w:rsid w:val="00DC6899"/>
    <w:rsid w:val="00DC7E6A"/>
    <w:rsid w:val="00DD57D6"/>
    <w:rsid w:val="00DE35F3"/>
    <w:rsid w:val="00DE3B1F"/>
    <w:rsid w:val="00DE581E"/>
    <w:rsid w:val="00DF0880"/>
    <w:rsid w:val="00DF5030"/>
    <w:rsid w:val="00DF5551"/>
    <w:rsid w:val="00DF57D9"/>
    <w:rsid w:val="00DF60F3"/>
    <w:rsid w:val="00E0374E"/>
    <w:rsid w:val="00E05F5C"/>
    <w:rsid w:val="00E06559"/>
    <w:rsid w:val="00E101C9"/>
    <w:rsid w:val="00E1536B"/>
    <w:rsid w:val="00E225D6"/>
    <w:rsid w:val="00E22DE7"/>
    <w:rsid w:val="00E270CD"/>
    <w:rsid w:val="00E31ECC"/>
    <w:rsid w:val="00E3314C"/>
    <w:rsid w:val="00E43050"/>
    <w:rsid w:val="00E43995"/>
    <w:rsid w:val="00E47E56"/>
    <w:rsid w:val="00E52279"/>
    <w:rsid w:val="00E522AE"/>
    <w:rsid w:val="00E56B62"/>
    <w:rsid w:val="00E6314B"/>
    <w:rsid w:val="00E63B4E"/>
    <w:rsid w:val="00E76EFF"/>
    <w:rsid w:val="00E77D0A"/>
    <w:rsid w:val="00E812D0"/>
    <w:rsid w:val="00E87596"/>
    <w:rsid w:val="00EA0F9A"/>
    <w:rsid w:val="00EA5569"/>
    <w:rsid w:val="00EA5A1B"/>
    <w:rsid w:val="00EB1FA7"/>
    <w:rsid w:val="00EB7A61"/>
    <w:rsid w:val="00EC18F1"/>
    <w:rsid w:val="00EC3D34"/>
    <w:rsid w:val="00EC3D57"/>
    <w:rsid w:val="00EC789B"/>
    <w:rsid w:val="00ED01A1"/>
    <w:rsid w:val="00ED459E"/>
    <w:rsid w:val="00EE1C22"/>
    <w:rsid w:val="00EE5A0D"/>
    <w:rsid w:val="00EF25FF"/>
    <w:rsid w:val="00EF4443"/>
    <w:rsid w:val="00EF4D79"/>
    <w:rsid w:val="00EF67AB"/>
    <w:rsid w:val="00F06B2A"/>
    <w:rsid w:val="00F07844"/>
    <w:rsid w:val="00F1006D"/>
    <w:rsid w:val="00F14C7E"/>
    <w:rsid w:val="00F16663"/>
    <w:rsid w:val="00F21593"/>
    <w:rsid w:val="00F23D56"/>
    <w:rsid w:val="00F25457"/>
    <w:rsid w:val="00F60883"/>
    <w:rsid w:val="00F6185E"/>
    <w:rsid w:val="00F662BA"/>
    <w:rsid w:val="00F70C1C"/>
    <w:rsid w:val="00F71A53"/>
    <w:rsid w:val="00F721FA"/>
    <w:rsid w:val="00F76065"/>
    <w:rsid w:val="00F805AD"/>
    <w:rsid w:val="00F94F0C"/>
    <w:rsid w:val="00FA0AE3"/>
    <w:rsid w:val="00FA0B2A"/>
    <w:rsid w:val="00FA1CF8"/>
    <w:rsid w:val="00FA31C6"/>
    <w:rsid w:val="00FB0CB3"/>
    <w:rsid w:val="00FB6F9C"/>
    <w:rsid w:val="00FC0827"/>
    <w:rsid w:val="00FC2339"/>
    <w:rsid w:val="00FC3D23"/>
    <w:rsid w:val="00FC4C4F"/>
    <w:rsid w:val="00FC4F9F"/>
    <w:rsid w:val="00FD302A"/>
    <w:rsid w:val="00FD48D9"/>
    <w:rsid w:val="00FD5127"/>
    <w:rsid w:val="00FE23C4"/>
    <w:rsid w:val="00FE4967"/>
    <w:rsid w:val="00FE7DF5"/>
    <w:rsid w:val="00FF02EA"/>
    <w:rsid w:val="00FF0F84"/>
    <w:rsid w:val="00FF3F77"/>
    <w:rsid w:val="00FF5D21"/>
    <w:rsid w:val="10AF420B"/>
    <w:rsid w:val="1E9B6B8D"/>
    <w:rsid w:val="1EF831E1"/>
    <w:rsid w:val="2C6D09F0"/>
    <w:rsid w:val="6C949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3F2C"/>
  <w15:chartTrackingRefBased/>
  <w15:docId w15:val="{6EA5FA79-A095-4854-9982-EC6004E2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cs="Arial" w:eastAsia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193A"/>
  </w:style>
  <w:style w:type="paragraph" w:styleId="Heading1">
    <w:name w:val="heading 1"/>
    <w:basedOn w:val="Normal"/>
    <w:next w:val="Normal"/>
    <w:link w:val="Heading1Char"/>
    <w:autoRedefine/>
    <w:qFormat/>
    <w:rsid w:val="00211CEF"/>
    <w:pPr>
      <w:keepNext/>
      <w:keepLines/>
      <w:outlineLvl w:val="0"/>
    </w:pPr>
    <w:rPr>
      <w:rFonts w:eastAsiaTheme="majorEastAsia" w:cstheme="majorBidi"/>
      <w:b/>
      <w:color w:val="000000" w:themeColor="text1"/>
      <w:sz w:val="24"/>
      <w:szCs w:val="32"/>
    </w:rPr>
  </w:style>
  <w:style w:type="paragraph" w:styleId="Heading2">
    <w:name w:val="heading 2"/>
    <w:basedOn w:val="Normal"/>
    <w:next w:val="Normal"/>
    <w:link w:val="Heading2Char"/>
    <w:autoRedefine/>
    <w:uiPriority w:val="9"/>
    <w:unhideWhenUsed/>
    <w:qFormat/>
    <w:rsid w:val="0036253E"/>
    <w:pPr>
      <w:keepNext/>
      <w:keepLines/>
      <w:widowControl w:val="0"/>
      <w:outlineLvl w:val="1"/>
    </w:pPr>
    <w:rPr>
      <w:rFonts w:eastAsiaTheme="majorEastAsia" w:cstheme="majorBidi"/>
      <w:sz w:val="20"/>
      <w:szCs w:val="26"/>
      <w:u w:val="single"/>
    </w:rPr>
  </w:style>
  <w:style w:type="paragraph" w:styleId="Heading3">
    <w:name w:val="heading 3"/>
    <w:basedOn w:val="Normal"/>
    <w:next w:val="Normal"/>
    <w:link w:val="Heading3Char"/>
    <w:autoRedefine/>
    <w:uiPriority w:val="9"/>
    <w:unhideWhenUsed/>
    <w:qFormat/>
    <w:rsid w:val="0036253E"/>
    <w:pPr>
      <w:keepNext/>
      <w:keepLines/>
      <w:widowControl w:val="0"/>
      <w:outlineLvl w:val="2"/>
    </w:pPr>
    <w:rPr>
      <w:rFonts w:eastAsiaTheme="majorEastAsia" w:cstheme="majorBidi"/>
      <w:b/>
      <w:i/>
      <w:color w:val="000000" w:themeColor="text1"/>
      <w:spacing w:val="-3"/>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211CEF"/>
    <w:rPr>
      <w:rFonts w:ascii="Arial" w:hAnsi="Arial" w:eastAsiaTheme="majorEastAsia" w:cstheme="majorBidi"/>
      <w:b/>
      <w:color w:val="000000" w:themeColor="text1"/>
      <w:sz w:val="24"/>
      <w:szCs w:val="32"/>
    </w:rPr>
  </w:style>
  <w:style w:type="character" w:styleId="IntenseEmphasis">
    <w:name w:val="Intense Emphasis"/>
    <w:basedOn w:val="DefaultParagraphFont"/>
    <w:uiPriority w:val="21"/>
    <w:qFormat/>
    <w:rsid w:val="00FE7DF5"/>
    <w:rPr>
      <w:b/>
      <w:bCs/>
      <w:i/>
      <w:iCs/>
      <w:sz w:val="24"/>
    </w:rPr>
  </w:style>
  <w:style w:type="paragraph" w:styleId="Title">
    <w:name w:val="Title"/>
    <w:basedOn w:val="Normal"/>
    <w:next w:val="Normal"/>
    <w:link w:val="TitleChar"/>
    <w:autoRedefine/>
    <w:qFormat/>
    <w:rsid w:val="00917AD0"/>
    <w:pPr>
      <w:contextualSpacing/>
      <w:jc w:val="center"/>
    </w:pPr>
    <w:rPr>
      <w:rFonts w:eastAsiaTheme="majorEastAsia" w:cstheme="majorBidi"/>
      <w:b/>
      <w:spacing w:val="-10"/>
      <w:kern w:val="28"/>
      <w:sz w:val="28"/>
      <w:szCs w:val="56"/>
    </w:rPr>
  </w:style>
  <w:style w:type="character" w:styleId="TitleChar" w:customStyle="1">
    <w:name w:val="Title Char"/>
    <w:basedOn w:val="DefaultParagraphFont"/>
    <w:link w:val="Title"/>
    <w:rsid w:val="00917AD0"/>
    <w:rPr>
      <w:rFonts w:eastAsiaTheme="majorEastAsia" w:cstheme="majorBidi"/>
      <w:b/>
      <w:spacing w:val="-10"/>
      <w:kern w:val="28"/>
      <w:sz w:val="28"/>
      <w:szCs w:val="56"/>
    </w:rPr>
  </w:style>
  <w:style w:type="paragraph" w:styleId="Style1" w:customStyle="1">
    <w:name w:val="Style1"/>
    <w:basedOn w:val="Title"/>
    <w:link w:val="Style1Char"/>
    <w:uiPriority w:val="1"/>
    <w:qFormat/>
    <w:rsid w:val="00B91A30"/>
    <w:rPr>
      <w:rFonts w:eastAsia="Arial"/>
      <w:b w:val="0"/>
      <w:spacing w:val="-2"/>
    </w:rPr>
  </w:style>
  <w:style w:type="character" w:styleId="Style1Char" w:customStyle="1">
    <w:name w:val="Style1 Char"/>
    <w:basedOn w:val="TitleChar"/>
    <w:link w:val="Style1"/>
    <w:uiPriority w:val="1"/>
    <w:rsid w:val="00B91A30"/>
    <w:rPr>
      <w:rFonts w:ascii="Arial" w:hAnsi="Arial" w:eastAsia="Arial" w:cstheme="majorBidi"/>
      <w:b w:val="0"/>
      <w:spacing w:val="-2"/>
      <w:kern w:val="28"/>
      <w:sz w:val="32"/>
      <w:szCs w:val="56"/>
    </w:rPr>
  </w:style>
  <w:style w:type="character" w:styleId="Heading3Char" w:customStyle="1">
    <w:name w:val="Heading 3 Char"/>
    <w:basedOn w:val="DefaultParagraphFont"/>
    <w:link w:val="Heading3"/>
    <w:uiPriority w:val="9"/>
    <w:rsid w:val="0036253E"/>
    <w:rPr>
      <w:rFonts w:eastAsiaTheme="majorEastAsia" w:cstheme="majorBidi"/>
      <w:b/>
      <w:i/>
      <w:color w:val="000000" w:themeColor="text1"/>
      <w:spacing w:val="-3"/>
      <w:szCs w:val="24"/>
    </w:rPr>
  </w:style>
  <w:style w:type="character" w:styleId="Heading2Char" w:customStyle="1">
    <w:name w:val="Heading 2 Char"/>
    <w:basedOn w:val="DefaultParagraphFont"/>
    <w:link w:val="Heading2"/>
    <w:uiPriority w:val="9"/>
    <w:rsid w:val="0036253E"/>
    <w:rPr>
      <w:rFonts w:eastAsiaTheme="majorEastAsia" w:cstheme="majorBidi"/>
      <w:sz w:val="20"/>
      <w:szCs w:val="26"/>
      <w:u w:val="single"/>
    </w:rPr>
  </w:style>
  <w:style w:type="paragraph" w:styleId="ListParagraph">
    <w:name w:val="List Paragraph"/>
    <w:basedOn w:val="Normal"/>
    <w:uiPriority w:val="34"/>
    <w:qFormat/>
    <w:rsid w:val="00C70B13"/>
    <w:pPr>
      <w:ind w:left="720"/>
      <w:contextualSpacing/>
    </w:pPr>
  </w:style>
  <w:style w:type="character" w:styleId="Hyperlink">
    <w:name w:val="Hyperlink"/>
    <w:basedOn w:val="DefaultParagraphFont"/>
    <w:uiPriority w:val="99"/>
    <w:unhideWhenUsed/>
    <w:rsid w:val="001B4335"/>
    <w:rPr>
      <w:color w:val="0563C1" w:themeColor="hyperlink"/>
      <w:u w:val="single"/>
    </w:rPr>
  </w:style>
  <w:style w:type="character" w:styleId="CommentReference">
    <w:name w:val="annotation reference"/>
    <w:basedOn w:val="DefaultParagraphFont"/>
    <w:uiPriority w:val="99"/>
    <w:semiHidden/>
    <w:unhideWhenUsed/>
    <w:rsid w:val="00741EAD"/>
    <w:rPr>
      <w:sz w:val="16"/>
      <w:szCs w:val="16"/>
    </w:rPr>
  </w:style>
  <w:style w:type="paragraph" w:styleId="CommentText">
    <w:name w:val="annotation text"/>
    <w:basedOn w:val="Normal"/>
    <w:link w:val="CommentTextChar"/>
    <w:uiPriority w:val="99"/>
    <w:semiHidden/>
    <w:unhideWhenUsed/>
    <w:rsid w:val="00741EAD"/>
    <w:rPr>
      <w:sz w:val="20"/>
      <w:szCs w:val="20"/>
    </w:rPr>
  </w:style>
  <w:style w:type="character" w:styleId="CommentTextChar" w:customStyle="1">
    <w:name w:val="Comment Text Char"/>
    <w:basedOn w:val="DefaultParagraphFont"/>
    <w:link w:val="CommentText"/>
    <w:uiPriority w:val="99"/>
    <w:semiHidden/>
    <w:rsid w:val="00741EAD"/>
    <w:rPr>
      <w:sz w:val="20"/>
      <w:szCs w:val="20"/>
    </w:rPr>
  </w:style>
  <w:style w:type="paragraph" w:styleId="CommentSubject">
    <w:name w:val="annotation subject"/>
    <w:basedOn w:val="CommentText"/>
    <w:next w:val="CommentText"/>
    <w:link w:val="CommentSubjectChar"/>
    <w:uiPriority w:val="99"/>
    <w:semiHidden/>
    <w:unhideWhenUsed/>
    <w:rsid w:val="00741EAD"/>
    <w:rPr>
      <w:b/>
      <w:bCs/>
    </w:rPr>
  </w:style>
  <w:style w:type="character" w:styleId="CommentSubjectChar" w:customStyle="1">
    <w:name w:val="Comment Subject Char"/>
    <w:basedOn w:val="CommentTextChar"/>
    <w:link w:val="CommentSubject"/>
    <w:uiPriority w:val="99"/>
    <w:semiHidden/>
    <w:rsid w:val="00741EAD"/>
    <w:rPr>
      <w:b/>
      <w:bCs/>
      <w:sz w:val="20"/>
      <w:szCs w:val="20"/>
    </w:rPr>
  </w:style>
  <w:style w:type="paragraph" w:styleId="BalloonText">
    <w:name w:val="Balloon Text"/>
    <w:basedOn w:val="Normal"/>
    <w:link w:val="BalloonTextChar"/>
    <w:uiPriority w:val="99"/>
    <w:semiHidden/>
    <w:unhideWhenUsed/>
    <w:rsid w:val="00741EAD"/>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741EAD"/>
    <w:rPr>
      <w:rFonts w:ascii="Times New Roman" w:hAnsi="Times New Roman" w:cs="Times New Roman"/>
      <w:sz w:val="18"/>
      <w:szCs w:val="18"/>
    </w:rPr>
  </w:style>
  <w:style w:type="character" w:styleId="UnresolvedMention1" w:customStyle="1">
    <w:name w:val="Unresolved Mention1"/>
    <w:basedOn w:val="DefaultParagraphFont"/>
    <w:uiPriority w:val="99"/>
    <w:semiHidden/>
    <w:unhideWhenUsed/>
    <w:rsid w:val="00961CB2"/>
    <w:rPr>
      <w:color w:val="605E5C"/>
      <w:shd w:val="clear" w:color="auto" w:fill="E1DFDD"/>
    </w:rPr>
  </w:style>
  <w:style w:type="character" w:styleId="FollowedHyperlink">
    <w:name w:val="FollowedHyperlink"/>
    <w:basedOn w:val="DefaultParagraphFont"/>
    <w:uiPriority w:val="99"/>
    <w:semiHidden/>
    <w:unhideWhenUsed/>
    <w:rsid w:val="00113216"/>
    <w:rPr>
      <w:color w:val="954F72" w:themeColor="followedHyperlink"/>
      <w:u w:val="single"/>
    </w:rPr>
  </w:style>
  <w:style w:type="table" w:styleId="TableGrid">
    <w:name w:val="Table Grid"/>
    <w:basedOn w:val="TableNormal"/>
    <w:uiPriority w:val="39"/>
    <w:rsid w:val="001A62B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semiHidden/>
    <w:rsid w:val="001A62B9"/>
    <w:pPr>
      <w:widowControl w:val="0"/>
      <w:autoSpaceDE w:val="0"/>
      <w:autoSpaceDN w:val="0"/>
      <w:adjustRightInd w:val="0"/>
    </w:pPr>
    <w:rPr>
      <w:rFonts w:ascii="Helvenica" w:hAnsi="Helvenica" w:eastAsia="Times New Roman" w:cs="Times New Roman"/>
      <w:sz w:val="20"/>
      <w:szCs w:val="24"/>
    </w:rPr>
  </w:style>
  <w:style w:type="character" w:styleId="FootnoteTextChar" w:customStyle="1">
    <w:name w:val="Footnote Text Char"/>
    <w:basedOn w:val="DefaultParagraphFont"/>
    <w:link w:val="FootnoteText"/>
    <w:semiHidden/>
    <w:rsid w:val="001A62B9"/>
    <w:rPr>
      <w:rFonts w:ascii="Helvenica" w:hAnsi="Helvenica" w:eastAsia="Times New Roman" w:cs="Times New Roman"/>
      <w:sz w:val="20"/>
      <w:szCs w:val="24"/>
    </w:rPr>
  </w:style>
  <w:style w:type="character" w:styleId="FootnoteReference">
    <w:name w:val="footnote reference"/>
    <w:semiHidden/>
    <w:rsid w:val="001A62B9"/>
    <w:rPr>
      <w:vertAlign w:val="superscript"/>
    </w:rPr>
  </w:style>
  <w:style w:type="paragraph" w:styleId="EndnoteText">
    <w:name w:val="endnote text"/>
    <w:basedOn w:val="Normal"/>
    <w:link w:val="EndnoteTextChar"/>
    <w:uiPriority w:val="99"/>
    <w:semiHidden/>
    <w:unhideWhenUsed/>
    <w:rsid w:val="00262C31"/>
    <w:rPr>
      <w:sz w:val="20"/>
      <w:szCs w:val="20"/>
    </w:rPr>
  </w:style>
  <w:style w:type="character" w:styleId="EndnoteTextChar" w:customStyle="1">
    <w:name w:val="Endnote Text Char"/>
    <w:basedOn w:val="DefaultParagraphFont"/>
    <w:link w:val="EndnoteText"/>
    <w:uiPriority w:val="99"/>
    <w:semiHidden/>
    <w:rsid w:val="00262C31"/>
    <w:rPr>
      <w:sz w:val="20"/>
      <w:szCs w:val="20"/>
    </w:rPr>
  </w:style>
  <w:style w:type="character" w:styleId="EndnoteReference">
    <w:name w:val="endnote reference"/>
    <w:basedOn w:val="DefaultParagraphFont"/>
    <w:uiPriority w:val="99"/>
    <w:semiHidden/>
    <w:unhideWhenUsed/>
    <w:rsid w:val="00262C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2970">
      <w:bodyDiv w:val="1"/>
      <w:marLeft w:val="0"/>
      <w:marRight w:val="0"/>
      <w:marTop w:val="0"/>
      <w:marBottom w:val="0"/>
      <w:divBdr>
        <w:top w:val="none" w:sz="0" w:space="0" w:color="auto"/>
        <w:left w:val="none" w:sz="0" w:space="0" w:color="auto"/>
        <w:bottom w:val="none" w:sz="0" w:space="0" w:color="auto"/>
        <w:right w:val="none" w:sz="0" w:space="0" w:color="auto"/>
      </w:divBdr>
    </w:div>
    <w:div w:id="39090714">
      <w:bodyDiv w:val="1"/>
      <w:marLeft w:val="0"/>
      <w:marRight w:val="0"/>
      <w:marTop w:val="0"/>
      <w:marBottom w:val="0"/>
      <w:divBdr>
        <w:top w:val="none" w:sz="0" w:space="0" w:color="auto"/>
        <w:left w:val="none" w:sz="0" w:space="0" w:color="auto"/>
        <w:bottom w:val="none" w:sz="0" w:space="0" w:color="auto"/>
        <w:right w:val="none" w:sz="0" w:space="0" w:color="auto"/>
      </w:divBdr>
    </w:div>
    <w:div w:id="252130141">
      <w:bodyDiv w:val="1"/>
      <w:marLeft w:val="0"/>
      <w:marRight w:val="0"/>
      <w:marTop w:val="0"/>
      <w:marBottom w:val="0"/>
      <w:divBdr>
        <w:top w:val="none" w:sz="0" w:space="0" w:color="auto"/>
        <w:left w:val="none" w:sz="0" w:space="0" w:color="auto"/>
        <w:bottom w:val="none" w:sz="0" w:space="0" w:color="auto"/>
        <w:right w:val="none" w:sz="0" w:space="0" w:color="auto"/>
      </w:divBdr>
    </w:div>
    <w:div w:id="260526139">
      <w:bodyDiv w:val="1"/>
      <w:marLeft w:val="0"/>
      <w:marRight w:val="0"/>
      <w:marTop w:val="0"/>
      <w:marBottom w:val="0"/>
      <w:divBdr>
        <w:top w:val="none" w:sz="0" w:space="0" w:color="auto"/>
        <w:left w:val="none" w:sz="0" w:space="0" w:color="auto"/>
        <w:bottom w:val="none" w:sz="0" w:space="0" w:color="auto"/>
        <w:right w:val="none" w:sz="0" w:space="0" w:color="auto"/>
      </w:divBdr>
    </w:div>
    <w:div w:id="307786789">
      <w:bodyDiv w:val="1"/>
      <w:marLeft w:val="0"/>
      <w:marRight w:val="0"/>
      <w:marTop w:val="0"/>
      <w:marBottom w:val="0"/>
      <w:divBdr>
        <w:top w:val="none" w:sz="0" w:space="0" w:color="auto"/>
        <w:left w:val="none" w:sz="0" w:space="0" w:color="auto"/>
        <w:bottom w:val="none" w:sz="0" w:space="0" w:color="auto"/>
        <w:right w:val="none" w:sz="0" w:space="0" w:color="auto"/>
      </w:divBdr>
    </w:div>
    <w:div w:id="469440511">
      <w:bodyDiv w:val="1"/>
      <w:marLeft w:val="0"/>
      <w:marRight w:val="0"/>
      <w:marTop w:val="0"/>
      <w:marBottom w:val="0"/>
      <w:divBdr>
        <w:top w:val="none" w:sz="0" w:space="0" w:color="auto"/>
        <w:left w:val="none" w:sz="0" w:space="0" w:color="auto"/>
        <w:bottom w:val="none" w:sz="0" w:space="0" w:color="auto"/>
        <w:right w:val="none" w:sz="0" w:space="0" w:color="auto"/>
      </w:divBdr>
    </w:div>
    <w:div w:id="474494516">
      <w:bodyDiv w:val="1"/>
      <w:marLeft w:val="0"/>
      <w:marRight w:val="0"/>
      <w:marTop w:val="0"/>
      <w:marBottom w:val="0"/>
      <w:divBdr>
        <w:top w:val="none" w:sz="0" w:space="0" w:color="auto"/>
        <w:left w:val="none" w:sz="0" w:space="0" w:color="auto"/>
        <w:bottom w:val="none" w:sz="0" w:space="0" w:color="auto"/>
        <w:right w:val="none" w:sz="0" w:space="0" w:color="auto"/>
      </w:divBdr>
    </w:div>
    <w:div w:id="502088817">
      <w:bodyDiv w:val="1"/>
      <w:marLeft w:val="0"/>
      <w:marRight w:val="0"/>
      <w:marTop w:val="0"/>
      <w:marBottom w:val="0"/>
      <w:divBdr>
        <w:top w:val="none" w:sz="0" w:space="0" w:color="auto"/>
        <w:left w:val="none" w:sz="0" w:space="0" w:color="auto"/>
        <w:bottom w:val="none" w:sz="0" w:space="0" w:color="auto"/>
        <w:right w:val="none" w:sz="0" w:space="0" w:color="auto"/>
      </w:divBdr>
    </w:div>
    <w:div w:id="591546132">
      <w:bodyDiv w:val="1"/>
      <w:marLeft w:val="0"/>
      <w:marRight w:val="0"/>
      <w:marTop w:val="0"/>
      <w:marBottom w:val="0"/>
      <w:divBdr>
        <w:top w:val="none" w:sz="0" w:space="0" w:color="auto"/>
        <w:left w:val="none" w:sz="0" w:space="0" w:color="auto"/>
        <w:bottom w:val="none" w:sz="0" w:space="0" w:color="auto"/>
        <w:right w:val="none" w:sz="0" w:space="0" w:color="auto"/>
      </w:divBdr>
      <w:divsChild>
        <w:div w:id="83693667">
          <w:marLeft w:val="446"/>
          <w:marRight w:val="0"/>
          <w:marTop w:val="134"/>
          <w:marBottom w:val="120"/>
          <w:divBdr>
            <w:top w:val="none" w:sz="0" w:space="0" w:color="auto"/>
            <w:left w:val="none" w:sz="0" w:space="0" w:color="auto"/>
            <w:bottom w:val="none" w:sz="0" w:space="0" w:color="auto"/>
            <w:right w:val="none" w:sz="0" w:space="0" w:color="auto"/>
          </w:divBdr>
        </w:div>
        <w:div w:id="469324236">
          <w:marLeft w:val="446"/>
          <w:marRight w:val="0"/>
          <w:marTop w:val="134"/>
          <w:marBottom w:val="120"/>
          <w:divBdr>
            <w:top w:val="none" w:sz="0" w:space="0" w:color="auto"/>
            <w:left w:val="none" w:sz="0" w:space="0" w:color="auto"/>
            <w:bottom w:val="none" w:sz="0" w:space="0" w:color="auto"/>
            <w:right w:val="none" w:sz="0" w:space="0" w:color="auto"/>
          </w:divBdr>
        </w:div>
        <w:div w:id="550653114">
          <w:marLeft w:val="446"/>
          <w:marRight w:val="0"/>
          <w:marTop w:val="134"/>
          <w:marBottom w:val="120"/>
          <w:divBdr>
            <w:top w:val="none" w:sz="0" w:space="0" w:color="auto"/>
            <w:left w:val="none" w:sz="0" w:space="0" w:color="auto"/>
            <w:bottom w:val="none" w:sz="0" w:space="0" w:color="auto"/>
            <w:right w:val="none" w:sz="0" w:space="0" w:color="auto"/>
          </w:divBdr>
        </w:div>
        <w:div w:id="657459007">
          <w:marLeft w:val="446"/>
          <w:marRight w:val="0"/>
          <w:marTop w:val="134"/>
          <w:marBottom w:val="120"/>
          <w:divBdr>
            <w:top w:val="none" w:sz="0" w:space="0" w:color="auto"/>
            <w:left w:val="none" w:sz="0" w:space="0" w:color="auto"/>
            <w:bottom w:val="none" w:sz="0" w:space="0" w:color="auto"/>
            <w:right w:val="none" w:sz="0" w:space="0" w:color="auto"/>
          </w:divBdr>
        </w:div>
        <w:div w:id="1462764443">
          <w:marLeft w:val="446"/>
          <w:marRight w:val="0"/>
          <w:marTop w:val="134"/>
          <w:marBottom w:val="120"/>
          <w:divBdr>
            <w:top w:val="none" w:sz="0" w:space="0" w:color="auto"/>
            <w:left w:val="none" w:sz="0" w:space="0" w:color="auto"/>
            <w:bottom w:val="none" w:sz="0" w:space="0" w:color="auto"/>
            <w:right w:val="none" w:sz="0" w:space="0" w:color="auto"/>
          </w:divBdr>
        </w:div>
      </w:divsChild>
    </w:div>
    <w:div w:id="692656713">
      <w:bodyDiv w:val="1"/>
      <w:marLeft w:val="0"/>
      <w:marRight w:val="0"/>
      <w:marTop w:val="0"/>
      <w:marBottom w:val="0"/>
      <w:divBdr>
        <w:top w:val="none" w:sz="0" w:space="0" w:color="auto"/>
        <w:left w:val="none" w:sz="0" w:space="0" w:color="auto"/>
        <w:bottom w:val="none" w:sz="0" w:space="0" w:color="auto"/>
        <w:right w:val="none" w:sz="0" w:space="0" w:color="auto"/>
      </w:divBdr>
    </w:div>
    <w:div w:id="731805076">
      <w:bodyDiv w:val="1"/>
      <w:marLeft w:val="0"/>
      <w:marRight w:val="0"/>
      <w:marTop w:val="0"/>
      <w:marBottom w:val="0"/>
      <w:divBdr>
        <w:top w:val="none" w:sz="0" w:space="0" w:color="auto"/>
        <w:left w:val="none" w:sz="0" w:space="0" w:color="auto"/>
        <w:bottom w:val="none" w:sz="0" w:space="0" w:color="auto"/>
        <w:right w:val="none" w:sz="0" w:space="0" w:color="auto"/>
      </w:divBdr>
    </w:div>
    <w:div w:id="786432690">
      <w:bodyDiv w:val="1"/>
      <w:marLeft w:val="0"/>
      <w:marRight w:val="0"/>
      <w:marTop w:val="0"/>
      <w:marBottom w:val="0"/>
      <w:divBdr>
        <w:top w:val="none" w:sz="0" w:space="0" w:color="auto"/>
        <w:left w:val="none" w:sz="0" w:space="0" w:color="auto"/>
        <w:bottom w:val="none" w:sz="0" w:space="0" w:color="auto"/>
        <w:right w:val="none" w:sz="0" w:space="0" w:color="auto"/>
      </w:divBdr>
    </w:div>
    <w:div w:id="891429764">
      <w:bodyDiv w:val="1"/>
      <w:marLeft w:val="0"/>
      <w:marRight w:val="0"/>
      <w:marTop w:val="0"/>
      <w:marBottom w:val="0"/>
      <w:divBdr>
        <w:top w:val="none" w:sz="0" w:space="0" w:color="auto"/>
        <w:left w:val="none" w:sz="0" w:space="0" w:color="auto"/>
        <w:bottom w:val="none" w:sz="0" w:space="0" w:color="auto"/>
        <w:right w:val="none" w:sz="0" w:space="0" w:color="auto"/>
      </w:divBdr>
    </w:div>
    <w:div w:id="940187971">
      <w:bodyDiv w:val="1"/>
      <w:marLeft w:val="0"/>
      <w:marRight w:val="0"/>
      <w:marTop w:val="0"/>
      <w:marBottom w:val="0"/>
      <w:divBdr>
        <w:top w:val="none" w:sz="0" w:space="0" w:color="auto"/>
        <w:left w:val="none" w:sz="0" w:space="0" w:color="auto"/>
        <w:bottom w:val="none" w:sz="0" w:space="0" w:color="auto"/>
        <w:right w:val="none" w:sz="0" w:space="0" w:color="auto"/>
      </w:divBdr>
    </w:div>
    <w:div w:id="941765426">
      <w:bodyDiv w:val="1"/>
      <w:marLeft w:val="0"/>
      <w:marRight w:val="0"/>
      <w:marTop w:val="0"/>
      <w:marBottom w:val="0"/>
      <w:divBdr>
        <w:top w:val="none" w:sz="0" w:space="0" w:color="auto"/>
        <w:left w:val="none" w:sz="0" w:space="0" w:color="auto"/>
        <w:bottom w:val="none" w:sz="0" w:space="0" w:color="auto"/>
        <w:right w:val="none" w:sz="0" w:space="0" w:color="auto"/>
      </w:divBdr>
    </w:div>
    <w:div w:id="941884962">
      <w:bodyDiv w:val="1"/>
      <w:marLeft w:val="0"/>
      <w:marRight w:val="0"/>
      <w:marTop w:val="0"/>
      <w:marBottom w:val="0"/>
      <w:divBdr>
        <w:top w:val="none" w:sz="0" w:space="0" w:color="auto"/>
        <w:left w:val="none" w:sz="0" w:space="0" w:color="auto"/>
        <w:bottom w:val="none" w:sz="0" w:space="0" w:color="auto"/>
        <w:right w:val="none" w:sz="0" w:space="0" w:color="auto"/>
      </w:divBdr>
    </w:div>
    <w:div w:id="949817334">
      <w:bodyDiv w:val="1"/>
      <w:marLeft w:val="0"/>
      <w:marRight w:val="0"/>
      <w:marTop w:val="0"/>
      <w:marBottom w:val="0"/>
      <w:divBdr>
        <w:top w:val="none" w:sz="0" w:space="0" w:color="auto"/>
        <w:left w:val="none" w:sz="0" w:space="0" w:color="auto"/>
        <w:bottom w:val="none" w:sz="0" w:space="0" w:color="auto"/>
        <w:right w:val="none" w:sz="0" w:space="0" w:color="auto"/>
      </w:divBdr>
    </w:div>
    <w:div w:id="1220626590">
      <w:bodyDiv w:val="1"/>
      <w:marLeft w:val="0"/>
      <w:marRight w:val="0"/>
      <w:marTop w:val="0"/>
      <w:marBottom w:val="0"/>
      <w:divBdr>
        <w:top w:val="none" w:sz="0" w:space="0" w:color="auto"/>
        <w:left w:val="none" w:sz="0" w:space="0" w:color="auto"/>
        <w:bottom w:val="none" w:sz="0" w:space="0" w:color="auto"/>
        <w:right w:val="none" w:sz="0" w:space="0" w:color="auto"/>
      </w:divBdr>
    </w:div>
    <w:div w:id="1258252315">
      <w:bodyDiv w:val="1"/>
      <w:marLeft w:val="0"/>
      <w:marRight w:val="0"/>
      <w:marTop w:val="0"/>
      <w:marBottom w:val="0"/>
      <w:divBdr>
        <w:top w:val="none" w:sz="0" w:space="0" w:color="auto"/>
        <w:left w:val="none" w:sz="0" w:space="0" w:color="auto"/>
        <w:bottom w:val="none" w:sz="0" w:space="0" w:color="auto"/>
        <w:right w:val="none" w:sz="0" w:space="0" w:color="auto"/>
      </w:divBdr>
    </w:div>
    <w:div w:id="1322007534">
      <w:bodyDiv w:val="1"/>
      <w:marLeft w:val="0"/>
      <w:marRight w:val="0"/>
      <w:marTop w:val="0"/>
      <w:marBottom w:val="0"/>
      <w:divBdr>
        <w:top w:val="none" w:sz="0" w:space="0" w:color="auto"/>
        <w:left w:val="none" w:sz="0" w:space="0" w:color="auto"/>
        <w:bottom w:val="none" w:sz="0" w:space="0" w:color="auto"/>
        <w:right w:val="none" w:sz="0" w:space="0" w:color="auto"/>
      </w:divBdr>
    </w:div>
    <w:div w:id="1404140269">
      <w:bodyDiv w:val="1"/>
      <w:marLeft w:val="0"/>
      <w:marRight w:val="0"/>
      <w:marTop w:val="0"/>
      <w:marBottom w:val="0"/>
      <w:divBdr>
        <w:top w:val="none" w:sz="0" w:space="0" w:color="auto"/>
        <w:left w:val="none" w:sz="0" w:space="0" w:color="auto"/>
        <w:bottom w:val="none" w:sz="0" w:space="0" w:color="auto"/>
        <w:right w:val="none" w:sz="0" w:space="0" w:color="auto"/>
      </w:divBdr>
    </w:div>
    <w:div w:id="1599630973">
      <w:bodyDiv w:val="1"/>
      <w:marLeft w:val="0"/>
      <w:marRight w:val="0"/>
      <w:marTop w:val="0"/>
      <w:marBottom w:val="0"/>
      <w:divBdr>
        <w:top w:val="none" w:sz="0" w:space="0" w:color="auto"/>
        <w:left w:val="none" w:sz="0" w:space="0" w:color="auto"/>
        <w:bottom w:val="none" w:sz="0" w:space="0" w:color="auto"/>
        <w:right w:val="none" w:sz="0" w:space="0" w:color="auto"/>
      </w:divBdr>
    </w:div>
    <w:div w:id="1630669689">
      <w:bodyDiv w:val="1"/>
      <w:marLeft w:val="0"/>
      <w:marRight w:val="0"/>
      <w:marTop w:val="0"/>
      <w:marBottom w:val="0"/>
      <w:divBdr>
        <w:top w:val="none" w:sz="0" w:space="0" w:color="auto"/>
        <w:left w:val="none" w:sz="0" w:space="0" w:color="auto"/>
        <w:bottom w:val="none" w:sz="0" w:space="0" w:color="auto"/>
        <w:right w:val="none" w:sz="0" w:space="0" w:color="auto"/>
      </w:divBdr>
    </w:div>
    <w:div w:id="1657956988">
      <w:bodyDiv w:val="1"/>
      <w:marLeft w:val="0"/>
      <w:marRight w:val="0"/>
      <w:marTop w:val="0"/>
      <w:marBottom w:val="0"/>
      <w:divBdr>
        <w:top w:val="none" w:sz="0" w:space="0" w:color="auto"/>
        <w:left w:val="none" w:sz="0" w:space="0" w:color="auto"/>
        <w:bottom w:val="none" w:sz="0" w:space="0" w:color="auto"/>
        <w:right w:val="none" w:sz="0" w:space="0" w:color="auto"/>
      </w:divBdr>
    </w:div>
    <w:div w:id="1671254194">
      <w:bodyDiv w:val="1"/>
      <w:marLeft w:val="0"/>
      <w:marRight w:val="0"/>
      <w:marTop w:val="0"/>
      <w:marBottom w:val="0"/>
      <w:divBdr>
        <w:top w:val="none" w:sz="0" w:space="0" w:color="auto"/>
        <w:left w:val="none" w:sz="0" w:space="0" w:color="auto"/>
        <w:bottom w:val="none" w:sz="0" w:space="0" w:color="auto"/>
        <w:right w:val="none" w:sz="0" w:space="0" w:color="auto"/>
      </w:divBdr>
    </w:div>
    <w:div w:id="1771657718">
      <w:bodyDiv w:val="1"/>
      <w:marLeft w:val="0"/>
      <w:marRight w:val="0"/>
      <w:marTop w:val="0"/>
      <w:marBottom w:val="0"/>
      <w:divBdr>
        <w:top w:val="none" w:sz="0" w:space="0" w:color="auto"/>
        <w:left w:val="none" w:sz="0" w:space="0" w:color="auto"/>
        <w:bottom w:val="none" w:sz="0" w:space="0" w:color="auto"/>
        <w:right w:val="none" w:sz="0" w:space="0" w:color="auto"/>
      </w:divBdr>
      <w:divsChild>
        <w:div w:id="218562816">
          <w:marLeft w:val="547"/>
          <w:marRight w:val="0"/>
          <w:marTop w:val="75"/>
          <w:marBottom w:val="0"/>
          <w:divBdr>
            <w:top w:val="none" w:sz="0" w:space="0" w:color="auto"/>
            <w:left w:val="none" w:sz="0" w:space="0" w:color="auto"/>
            <w:bottom w:val="none" w:sz="0" w:space="0" w:color="auto"/>
            <w:right w:val="none" w:sz="0" w:space="0" w:color="auto"/>
          </w:divBdr>
        </w:div>
        <w:div w:id="521673198">
          <w:marLeft w:val="806"/>
          <w:marRight w:val="0"/>
          <w:marTop w:val="75"/>
          <w:marBottom w:val="0"/>
          <w:divBdr>
            <w:top w:val="none" w:sz="0" w:space="0" w:color="auto"/>
            <w:left w:val="none" w:sz="0" w:space="0" w:color="auto"/>
            <w:bottom w:val="none" w:sz="0" w:space="0" w:color="auto"/>
            <w:right w:val="none" w:sz="0" w:space="0" w:color="auto"/>
          </w:divBdr>
        </w:div>
        <w:div w:id="659191103">
          <w:marLeft w:val="547"/>
          <w:marRight w:val="0"/>
          <w:marTop w:val="75"/>
          <w:marBottom w:val="0"/>
          <w:divBdr>
            <w:top w:val="none" w:sz="0" w:space="0" w:color="auto"/>
            <w:left w:val="none" w:sz="0" w:space="0" w:color="auto"/>
            <w:bottom w:val="none" w:sz="0" w:space="0" w:color="auto"/>
            <w:right w:val="none" w:sz="0" w:space="0" w:color="auto"/>
          </w:divBdr>
        </w:div>
        <w:div w:id="1103302064">
          <w:marLeft w:val="547"/>
          <w:marRight w:val="0"/>
          <w:marTop w:val="75"/>
          <w:marBottom w:val="0"/>
          <w:divBdr>
            <w:top w:val="none" w:sz="0" w:space="0" w:color="auto"/>
            <w:left w:val="none" w:sz="0" w:space="0" w:color="auto"/>
            <w:bottom w:val="none" w:sz="0" w:space="0" w:color="auto"/>
            <w:right w:val="none" w:sz="0" w:space="0" w:color="auto"/>
          </w:divBdr>
        </w:div>
        <w:div w:id="1300766456">
          <w:marLeft w:val="547"/>
          <w:marRight w:val="0"/>
          <w:marTop w:val="75"/>
          <w:marBottom w:val="0"/>
          <w:divBdr>
            <w:top w:val="none" w:sz="0" w:space="0" w:color="auto"/>
            <w:left w:val="none" w:sz="0" w:space="0" w:color="auto"/>
            <w:bottom w:val="none" w:sz="0" w:space="0" w:color="auto"/>
            <w:right w:val="none" w:sz="0" w:space="0" w:color="auto"/>
          </w:divBdr>
        </w:div>
        <w:div w:id="1393845119">
          <w:marLeft w:val="547"/>
          <w:marRight w:val="0"/>
          <w:marTop w:val="75"/>
          <w:marBottom w:val="0"/>
          <w:divBdr>
            <w:top w:val="none" w:sz="0" w:space="0" w:color="auto"/>
            <w:left w:val="none" w:sz="0" w:space="0" w:color="auto"/>
            <w:bottom w:val="none" w:sz="0" w:space="0" w:color="auto"/>
            <w:right w:val="none" w:sz="0" w:space="0" w:color="auto"/>
          </w:divBdr>
        </w:div>
        <w:div w:id="1662656237">
          <w:marLeft w:val="806"/>
          <w:marRight w:val="0"/>
          <w:marTop w:val="75"/>
          <w:marBottom w:val="0"/>
          <w:divBdr>
            <w:top w:val="none" w:sz="0" w:space="0" w:color="auto"/>
            <w:left w:val="none" w:sz="0" w:space="0" w:color="auto"/>
            <w:bottom w:val="none" w:sz="0" w:space="0" w:color="auto"/>
            <w:right w:val="none" w:sz="0" w:space="0" w:color="auto"/>
          </w:divBdr>
        </w:div>
        <w:div w:id="1751073638">
          <w:marLeft w:val="806"/>
          <w:marRight w:val="0"/>
          <w:marTop w:val="75"/>
          <w:marBottom w:val="0"/>
          <w:divBdr>
            <w:top w:val="none" w:sz="0" w:space="0" w:color="auto"/>
            <w:left w:val="none" w:sz="0" w:space="0" w:color="auto"/>
            <w:bottom w:val="none" w:sz="0" w:space="0" w:color="auto"/>
            <w:right w:val="none" w:sz="0" w:space="0" w:color="auto"/>
          </w:divBdr>
        </w:div>
        <w:div w:id="1913543461">
          <w:marLeft w:val="547"/>
          <w:marRight w:val="0"/>
          <w:marTop w:val="75"/>
          <w:marBottom w:val="0"/>
          <w:divBdr>
            <w:top w:val="none" w:sz="0" w:space="0" w:color="auto"/>
            <w:left w:val="none" w:sz="0" w:space="0" w:color="auto"/>
            <w:bottom w:val="none" w:sz="0" w:space="0" w:color="auto"/>
            <w:right w:val="none" w:sz="0" w:space="0" w:color="auto"/>
          </w:divBdr>
        </w:div>
      </w:divsChild>
    </w:div>
    <w:div w:id="1874074445">
      <w:bodyDiv w:val="1"/>
      <w:marLeft w:val="0"/>
      <w:marRight w:val="0"/>
      <w:marTop w:val="0"/>
      <w:marBottom w:val="0"/>
      <w:divBdr>
        <w:top w:val="none" w:sz="0" w:space="0" w:color="auto"/>
        <w:left w:val="none" w:sz="0" w:space="0" w:color="auto"/>
        <w:bottom w:val="none" w:sz="0" w:space="0" w:color="auto"/>
        <w:right w:val="none" w:sz="0" w:space="0" w:color="auto"/>
      </w:divBdr>
      <w:divsChild>
        <w:div w:id="274335123">
          <w:marLeft w:val="1166"/>
          <w:marRight w:val="0"/>
          <w:marTop w:val="115"/>
          <w:marBottom w:val="120"/>
          <w:divBdr>
            <w:top w:val="none" w:sz="0" w:space="0" w:color="auto"/>
            <w:left w:val="none" w:sz="0" w:space="0" w:color="auto"/>
            <w:bottom w:val="none" w:sz="0" w:space="0" w:color="auto"/>
            <w:right w:val="none" w:sz="0" w:space="0" w:color="auto"/>
          </w:divBdr>
        </w:div>
        <w:div w:id="1032808555">
          <w:marLeft w:val="1166"/>
          <w:marRight w:val="0"/>
          <w:marTop w:val="115"/>
          <w:marBottom w:val="120"/>
          <w:divBdr>
            <w:top w:val="none" w:sz="0" w:space="0" w:color="auto"/>
            <w:left w:val="none" w:sz="0" w:space="0" w:color="auto"/>
            <w:bottom w:val="none" w:sz="0" w:space="0" w:color="auto"/>
            <w:right w:val="none" w:sz="0" w:space="0" w:color="auto"/>
          </w:divBdr>
        </w:div>
      </w:divsChild>
    </w:div>
    <w:div w:id="2007052896">
      <w:bodyDiv w:val="1"/>
      <w:marLeft w:val="0"/>
      <w:marRight w:val="0"/>
      <w:marTop w:val="0"/>
      <w:marBottom w:val="0"/>
      <w:divBdr>
        <w:top w:val="none" w:sz="0" w:space="0" w:color="auto"/>
        <w:left w:val="none" w:sz="0" w:space="0" w:color="auto"/>
        <w:bottom w:val="none" w:sz="0" w:space="0" w:color="auto"/>
        <w:right w:val="none" w:sz="0" w:space="0" w:color="auto"/>
      </w:divBdr>
    </w:div>
    <w:div w:id="2032952970">
      <w:bodyDiv w:val="1"/>
      <w:marLeft w:val="0"/>
      <w:marRight w:val="0"/>
      <w:marTop w:val="0"/>
      <w:marBottom w:val="0"/>
      <w:divBdr>
        <w:top w:val="none" w:sz="0" w:space="0" w:color="auto"/>
        <w:left w:val="none" w:sz="0" w:space="0" w:color="auto"/>
        <w:bottom w:val="none" w:sz="0" w:space="0" w:color="auto"/>
        <w:right w:val="none" w:sz="0" w:space="0" w:color="auto"/>
      </w:divBdr>
    </w:div>
    <w:div w:id="2131196720">
      <w:bodyDiv w:val="1"/>
      <w:marLeft w:val="0"/>
      <w:marRight w:val="0"/>
      <w:marTop w:val="0"/>
      <w:marBottom w:val="0"/>
      <w:divBdr>
        <w:top w:val="none" w:sz="0" w:space="0" w:color="auto"/>
        <w:left w:val="none" w:sz="0" w:space="0" w:color="auto"/>
        <w:bottom w:val="none" w:sz="0" w:space="0" w:color="auto"/>
        <w:right w:val="none" w:sz="0" w:space="0" w:color="auto"/>
      </w:divBdr>
    </w:div>
    <w:div w:id="21324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6F6F7E0653E94BBBFF03AAB5A62924" ma:contentTypeVersion="12" ma:contentTypeDescription="Create a new document." ma:contentTypeScope="" ma:versionID="6fbd12f4a7373b739abb4541134d3f91">
  <xsd:schema xmlns:xsd="http://www.w3.org/2001/XMLSchema" xmlns:xs="http://www.w3.org/2001/XMLSchema" xmlns:p="http://schemas.microsoft.com/office/2006/metadata/properties" xmlns:ns2="48f14ab2-f726-4d71-82e0-a3ffdd95b231" xmlns:ns3="68668694-e0a9-4ab4-bcfb-bb1183062267" targetNamespace="http://schemas.microsoft.com/office/2006/metadata/properties" ma:root="true" ma:fieldsID="296f823755447ddfcddb0d0e8077735c" ns2:_="" ns3:_="">
    <xsd:import namespace="48f14ab2-f726-4d71-82e0-a3ffdd95b231"/>
    <xsd:import namespace="68668694-e0a9-4ab4-bcfb-bb1183062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14ab2-f726-4d71-82e0-a3ffdd95b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668694-e0a9-4ab4-bcfb-bb11830622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305FD-D36B-4612-81A4-95BBDA8E55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84D9D6-5103-934D-86D1-576AFE175096}">
  <ds:schemaRefs>
    <ds:schemaRef ds:uri="http://schemas.openxmlformats.org/officeDocument/2006/bibliography"/>
  </ds:schemaRefs>
</ds:datastoreItem>
</file>

<file path=customXml/itemProps3.xml><?xml version="1.0" encoding="utf-8"?>
<ds:datastoreItem xmlns:ds="http://schemas.openxmlformats.org/officeDocument/2006/customXml" ds:itemID="{A900A598-9417-4CF6-BB5C-ED5616144D02}">
  <ds:schemaRefs>
    <ds:schemaRef ds:uri="http://schemas.microsoft.com/sharepoint/v3/contenttype/forms"/>
  </ds:schemaRefs>
</ds:datastoreItem>
</file>

<file path=customXml/itemProps4.xml><?xml version="1.0" encoding="utf-8"?>
<ds:datastoreItem xmlns:ds="http://schemas.openxmlformats.org/officeDocument/2006/customXml" ds:itemID="{0309278A-5E79-474B-90A3-48D05715D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14ab2-f726-4d71-82e0-a3ffdd95b231"/>
    <ds:schemaRef ds:uri="68668694-e0a9-4ab4-bcfb-bb1183062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Framingham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Jerusha Nelson-Peterman</dc:creator>
  <keywords/>
  <dc:description/>
  <lastModifiedBy>Megan Lehnerd</lastModifiedBy>
  <revision>8</revision>
  <lastPrinted>2020-02-12T18:13:00.0000000Z</lastPrinted>
  <dcterms:created xsi:type="dcterms:W3CDTF">2021-06-08T19:47:00.0000000Z</dcterms:created>
  <dcterms:modified xsi:type="dcterms:W3CDTF">2021-06-16T12:38:11.5950352Z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0x010100856F6F7E0653E94BBBFF03AAB5A62924</vt:lpwstr>
  </property>
</Properties>
</file>